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9575" w14:textId="77777777" w:rsidR="001E33E5" w:rsidRDefault="001E33E5" w:rsidP="001E33E5">
      <w:pPr>
        <w:spacing w:after="0" w:line="420" w:lineRule="atLeast"/>
        <w:textAlignment w:val="baseline"/>
        <w:outlineLvl w:val="2"/>
        <w:rPr>
          <w:rFonts w:ascii="Verdana" w:eastAsia="Times New Roman" w:hAnsi="Verdana" w:cs="Times New Roman"/>
          <w:b/>
          <w:bCs/>
          <w:color w:val="171717"/>
          <w:sz w:val="33"/>
          <w:szCs w:val="33"/>
          <w:lang w:eastAsia="en-GB"/>
        </w:rPr>
      </w:pPr>
      <w:r w:rsidRPr="001E33E5">
        <w:rPr>
          <w:rFonts w:ascii="Verdana" w:eastAsia="Times New Roman" w:hAnsi="Verdana" w:cs="Times New Roman"/>
          <w:b/>
          <w:bCs/>
          <w:color w:val="171717"/>
          <w:sz w:val="33"/>
          <w:szCs w:val="33"/>
          <w:lang w:eastAsia="en-GB"/>
        </w:rPr>
        <w:t>Neurodiversity in Educational Settings (April-June 2024)</w:t>
      </w:r>
    </w:p>
    <w:p w14:paraId="581DE2D2" w14:textId="77777777" w:rsidR="001E33E5" w:rsidRPr="001E33E5" w:rsidRDefault="001E33E5" w:rsidP="001E33E5">
      <w:pPr>
        <w:spacing w:after="0" w:line="420" w:lineRule="atLeast"/>
        <w:textAlignment w:val="baseline"/>
        <w:outlineLvl w:val="2"/>
        <w:rPr>
          <w:rFonts w:ascii="Verdana" w:eastAsia="Times New Roman" w:hAnsi="Verdana" w:cs="Times New Roman"/>
          <w:b/>
          <w:bCs/>
          <w:color w:val="171717"/>
          <w:sz w:val="33"/>
          <w:szCs w:val="33"/>
          <w:lang w:eastAsia="en-GB"/>
        </w:rPr>
      </w:pPr>
    </w:p>
    <w:p w14:paraId="1A7787FE"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Module Lead: </w:t>
      </w:r>
      <w:hyperlink r:id="rId5" w:tgtFrame="_blank" w:history="1">
        <w:r w:rsidRPr="001E33E5">
          <w:rPr>
            <w:rFonts w:ascii="Verdana" w:eastAsia="Times New Roman" w:hAnsi="Verdana" w:cs="Times New Roman"/>
            <w:color w:val="0072CF"/>
            <w:sz w:val="18"/>
            <w:szCs w:val="18"/>
            <w:lang w:eastAsia="en-GB"/>
          </w:rPr>
          <w:t>Dr Jenny Gibson</w:t>
        </w:r>
      </w:hyperlink>
    </w:p>
    <w:p w14:paraId="76A8D09F"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b/>
          <w:bCs/>
          <w:color w:val="171717"/>
          <w:sz w:val="20"/>
          <w:szCs w:val="20"/>
          <w:lang w:eastAsia="en-GB"/>
        </w:rPr>
        <w:t>Application deadline 22 March 2024</w:t>
      </w:r>
    </w:p>
    <w:p w14:paraId="45584A30"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 xml:space="preserve">This module will encourage students to explore the implications of the neurodiversity paradigm for their own professional settings. We will introduce and examine key theories and concepts relating to neurodiversity and inclusion. Students will engage with key debates around benefits and drawbacks of diagnostic labelling, learn more about best practices in supporting neurodivergent learners and learn more about neurological, cognitive, </w:t>
      </w:r>
      <w:proofErr w:type="gramStart"/>
      <w:r w:rsidRPr="001E33E5">
        <w:rPr>
          <w:rFonts w:ascii="Verdana" w:eastAsia="Times New Roman" w:hAnsi="Verdana" w:cs="Times New Roman"/>
          <w:color w:val="171717"/>
          <w:sz w:val="20"/>
          <w:szCs w:val="20"/>
          <w:lang w:eastAsia="en-GB"/>
        </w:rPr>
        <w:t>emotional</w:t>
      </w:r>
      <w:proofErr w:type="gramEnd"/>
      <w:r w:rsidRPr="001E33E5">
        <w:rPr>
          <w:rFonts w:ascii="Verdana" w:eastAsia="Times New Roman" w:hAnsi="Verdana" w:cs="Times New Roman"/>
          <w:color w:val="171717"/>
          <w:sz w:val="20"/>
          <w:szCs w:val="20"/>
          <w:lang w:eastAsia="en-GB"/>
        </w:rPr>
        <w:t xml:space="preserve"> and behavioural aspects of autism, ADHD, DLD, dyslexia and other neurodevelopmental disabilities/differences.</w:t>
      </w:r>
    </w:p>
    <w:p w14:paraId="6722F8F7"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The course has the following aims:</w:t>
      </w:r>
    </w:p>
    <w:p w14:paraId="43B5FA4A" w14:textId="77777777" w:rsidR="001E33E5" w:rsidRPr="001E33E5" w:rsidRDefault="001E33E5" w:rsidP="001E33E5">
      <w:pPr>
        <w:numPr>
          <w:ilvl w:val="0"/>
          <w:numId w:val="1"/>
        </w:numPr>
        <w:spacing w:after="225" w:line="270" w:lineRule="atLeast"/>
        <w:ind w:left="1113"/>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To introduce learners to the neurodiversity paradigm</w:t>
      </w:r>
    </w:p>
    <w:p w14:paraId="374FCB90" w14:textId="77777777" w:rsidR="001E33E5" w:rsidRPr="001E33E5" w:rsidRDefault="001E33E5" w:rsidP="001E33E5">
      <w:pPr>
        <w:numPr>
          <w:ilvl w:val="0"/>
          <w:numId w:val="1"/>
        </w:numPr>
        <w:spacing w:after="225" w:line="270" w:lineRule="atLeast"/>
        <w:ind w:left="1113"/>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 xml:space="preserve">To enable learners to engage in key critical debates on topics relating to </w:t>
      </w:r>
      <w:proofErr w:type="gramStart"/>
      <w:r w:rsidRPr="001E33E5">
        <w:rPr>
          <w:rFonts w:ascii="Verdana" w:eastAsia="Times New Roman" w:hAnsi="Verdana" w:cs="Times New Roman"/>
          <w:color w:val="171717"/>
          <w:sz w:val="20"/>
          <w:szCs w:val="20"/>
          <w:lang w:eastAsia="en-GB"/>
        </w:rPr>
        <w:t>neurodiversity</w:t>
      </w:r>
      <w:proofErr w:type="gramEnd"/>
    </w:p>
    <w:p w14:paraId="0B41359F" w14:textId="77777777" w:rsidR="001E33E5" w:rsidRPr="001E33E5" w:rsidRDefault="001E33E5" w:rsidP="001E33E5">
      <w:pPr>
        <w:numPr>
          <w:ilvl w:val="0"/>
          <w:numId w:val="1"/>
        </w:numPr>
        <w:spacing w:after="225" w:line="270" w:lineRule="atLeast"/>
        <w:ind w:left="1113"/>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 xml:space="preserve">To enable learners to construct deeper knowledge of types of neurodivergence that they are likely to encounter in their professional settings, including autism, ADHD and </w:t>
      </w:r>
      <w:proofErr w:type="gramStart"/>
      <w:r w:rsidRPr="001E33E5">
        <w:rPr>
          <w:rFonts w:ascii="Verdana" w:eastAsia="Times New Roman" w:hAnsi="Verdana" w:cs="Times New Roman"/>
          <w:color w:val="171717"/>
          <w:sz w:val="20"/>
          <w:szCs w:val="20"/>
          <w:lang w:eastAsia="en-GB"/>
        </w:rPr>
        <w:t>dyslexia</w:t>
      </w:r>
      <w:proofErr w:type="gramEnd"/>
    </w:p>
    <w:p w14:paraId="5FB2D439" w14:textId="77777777" w:rsidR="001E33E5" w:rsidRPr="001E33E5" w:rsidRDefault="001E33E5" w:rsidP="001E33E5">
      <w:pPr>
        <w:numPr>
          <w:ilvl w:val="0"/>
          <w:numId w:val="1"/>
        </w:numPr>
        <w:spacing w:after="225" w:line="270" w:lineRule="atLeast"/>
        <w:ind w:left="1113"/>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 xml:space="preserve">To support learners to innovate in their own professional settings </w:t>
      </w:r>
      <w:proofErr w:type="gramStart"/>
      <w:r w:rsidRPr="001E33E5">
        <w:rPr>
          <w:rFonts w:ascii="Verdana" w:eastAsia="Times New Roman" w:hAnsi="Verdana" w:cs="Times New Roman"/>
          <w:color w:val="171717"/>
          <w:sz w:val="20"/>
          <w:szCs w:val="20"/>
          <w:lang w:eastAsia="en-GB"/>
        </w:rPr>
        <w:t>in order to</w:t>
      </w:r>
      <w:proofErr w:type="gramEnd"/>
      <w:r w:rsidRPr="001E33E5">
        <w:rPr>
          <w:rFonts w:ascii="Verdana" w:eastAsia="Times New Roman" w:hAnsi="Verdana" w:cs="Times New Roman"/>
          <w:color w:val="171717"/>
          <w:sz w:val="20"/>
          <w:szCs w:val="20"/>
          <w:lang w:eastAsia="en-GB"/>
        </w:rPr>
        <w:t xml:space="preserve"> enact neurodiversity affirming practices &amp; strategies for inclusion, awareness and acceptance.</w:t>
      </w:r>
    </w:p>
    <w:p w14:paraId="6A848923"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 xml:space="preserve">This module would suit those who work with neurodivergent students across a range of educational and professional practice settings. This could include HEI lecturers and tutors, teachers, pre-school educators and practitioners, social work practitioners, those involved in medical education, </w:t>
      </w:r>
      <w:proofErr w:type="gramStart"/>
      <w:r w:rsidRPr="001E33E5">
        <w:rPr>
          <w:rFonts w:ascii="Verdana" w:eastAsia="Times New Roman" w:hAnsi="Verdana" w:cs="Times New Roman"/>
          <w:color w:val="171717"/>
          <w:sz w:val="20"/>
          <w:szCs w:val="20"/>
          <w:lang w:eastAsia="en-GB"/>
        </w:rPr>
        <w:t>speech</w:t>
      </w:r>
      <w:proofErr w:type="gramEnd"/>
      <w:r w:rsidRPr="001E33E5">
        <w:rPr>
          <w:rFonts w:ascii="Verdana" w:eastAsia="Times New Roman" w:hAnsi="Verdana" w:cs="Times New Roman"/>
          <w:color w:val="171717"/>
          <w:sz w:val="20"/>
          <w:szCs w:val="20"/>
          <w:lang w:eastAsia="en-GB"/>
        </w:rPr>
        <w:t xml:space="preserve"> and language therapists, for example.</w:t>
      </w:r>
    </w:p>
    <w:p w14:paraId="798DFC45" w14:textId="77777777" w:rsidR="001E33E5" w:rsidRPr="001E33E5" w:rsidRDefault="001E33E5" w:rsidP="001E33E5">
      <w:pPr>
        <w:spacing w:after="150" w:line="330" w:lineRule="atLeast"/>
        <w:textAlignment w:val="baseline"/>
        <w:outlineLvl w:val="3"/>
        <w:rPr>
          <w:rFonts w:ascii="Verdana" w:eastAsia="Times New Roman" w:hAnsi="Verdana" w:cs="Times New Roman"/>
          <w:b/>
          <w:bCs/>
          <w:color w:val="171717"/>
          <w:sz w:val="24"/>
          <w:szCs w:val="24"/>
          <w:lang w:eastAsia="en-GB"/>
        </w:rPr>
      </w:pPr>
      <w:r w:rsidRPr="001E33E5">
        <w:rPr>
          <w:rFonts w:ascii="Verdana" w:eastAsia="Times New Roman" w:hAnsi="Verdana" w:cs="Times New Roman"/>
          <w:b/>
          <w:bCs/>
          <w:color w:val="171717"/>
          <w:sz w:val="24"/>
          <w:szCs w:val="24"/>
          <w:lang w:eastAsia="en-GB"/>
        </w:rPr>
        <w:t>Assessment</w:t>
      </w:r>
    </w:p>
    <w:p w14:paraId="5713ED3C"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 xml:space="preserve">Students will complete a </w:t>
      </w:r>
      <w:proofErr w:type="gramStart"/>
      <w:r w:rsidRPr="001E33E5">
        <w:rPr>
          <w:rFonts w:ascii="Verdana" w:eastAsia="Times New Roman" w:hAnsi="Verdana" w:cs="Times New Roman"/>
          <w:color w:val="171717"/>
          <w:sz w:val="20"/>
          <w:szCs w:val="20"/>
          <w:lang w:eastAsia="en-GB"/>
        </w:rPr>
        <w:t>4,000 word</w:t>
      </w:r>
      <w:proofErr w:type="gramEnd"/>
      <w:r w:rsidRPr="001E33E5">
        <w:rPr>
          <w:rFonts w:ascii="Verdana" w:eastAsia="Times New Roman" w:hAnsi="Verdana" w:cs="Times New Roman"/>
          <w:color w:val="171717"/>
          <w:sz w:val="20"/>
          <w:szCs w:val="20"/>
          <w:lang w:eastAsia="en-GB"/>
        </w:rPr>
        <w:t xml:space="preserve"> assignment: Critical enquiry; Neurodiversity in Educational settings.</w:t>
      </w:r>
    </w:p>
    <w:p w14:paraId="3280EE8A"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Students can choose either:</w:t>
      </w:r>
    </w:p>
    <w:p w14:paraId="174BF283"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a) A theorised autobiography or case-study, or</w:t>
      </w:r>
    </w:p>
    <w:p w14:paraId="57A33EEA"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b) A small-scale action research project.</w:t>
      </w:r>
    </w:p>
    <w:p w14:paraId="2CB1811C" w14:textId="77777777" w:rsidR="001E33E5" w:rsidRPr="001E33E5" w:rsidRDefault="001E33E5" w:rsidP="001E33E5">
      <w:pPr>
        <w:spacing w:after="150" w:line="330" w:lineRule="atLeast"/>
        <w:textAlignment w:val="baseline"/>
        <w:outlineLvl w:val="3"/>
        <w:rPr>
          <w:rFonts w:ascii="Verdana" w:eastAsia="Times New Roman" w:hAnsi="Verdana" w:cs="Times New Roman"/>
          <w:b/>
          <w:bCs/>
          <w:color w:val="171717"/>
          <w:sz w:val="24"/>
          <w:szCs w:val="24"/>
          <w:lang w:eastAsia="en-GB"/>
        </w:rPr>
      </w:pPr>
      <w:r w:rsidRPr="001E33E5">
        <w:rPr>
          <w:rFonts w:ascii="Verdana" w:eastAsia="Times New Roman" w:hAnsi="Verdana" w:cs="Times New Roman"/>
          <w:b/>
          <w:bCs/>
          <w:color w:val="171717"/>
          <w:sz w:val="24"/>
          <w:szCs w:val="24"/>
          <w:lang w:eastAsia="en-GB"/>
        </w:rPr>
        <w:t>Dates</w:t>
      </w:r>
    </w:p>
    <w:p w14:paraId="30B2CA71"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Two Saturday day schools (27 April and 22 June) 9.30am to 1.30pm UK time</w:t>
      </w:r>
    </w:p>
    <w:p w14:paraId="560D1E87" w14:textId="77777777" w:rsidR="001E33E5" w:rsidRPr="001E33E5" w:rsidRDefault="001E33E5" w:rsidP="001E33E5">
      <w:pPr>
        <w:spacing w:after="225" w:line="240" w:lineRule="auto"/>
        <w:rPr>
          <w:rFonts w:ascii="Verdana" w:eastAsia="Times New Roman" w:hAnsi="Verdana" w:cs="Times New Roman"/>
          <w:color w:val="171717"/>
          <w:sz w:val="20"/>
          <w:szCs w:val="20"/>
          <w:lang w:eastAsia="en-GB"/>
        </w:rPr>
      </w:pPr>
      <w:r w:rsidRPr="001E33E5">
        <w:rPr>
          <w:rFonts w:ascii="Verdana" w:eastAsia="Times New Roman" w:hAnsi="Verdana" w:cs="Times New Roman"/>
          <w:color w:val="171717"/>
          <w:sz w:val="20"/>
          <w:szCs w:val="20"/>
          <w:lang w:eastAsia="en-GB"/>
        </w:rPr>
        <w:t xml:space="preserve">Tuesday evening sessions (7 May, 14 May, 21 May, 4 </w:t>
      </w:r>
      <w:proofErr w:type="gramStart"/>
      <w:r w:rsidRPr="001E33E5">
        <w:rPr>
          <w:rFonts w:ascii="Verdana" w:eastAsia="Times New Roman" w:hAnsi="Verdana" w:cs="Times New Roman"/>
          <w:color w:val="171717"/>
          <w:sz w:val="20"/>
          <w:szCs w:val="20"/>
          <w:lang w:eastAsia="en-GB"/>
        </w:rPr>
        <w:t>June</w:t>
      </w:r>
      <w:proofErr w:type="gramEnd"/>
      <w:r w:rsidRPr="001E33E5">
        <w:rPr>
          <w:rFonts w:ascii="Verdana" w:eastAsia="Times New Roman" w:hAnsi="Verdana" w:cs="Times New Roman"/>
          <w:color w:val="171717"/>
          <w:sz w:val="20"/>
          <w:szCs w:val="20"/>
          <w:lang w:eastAsia="en-GB"/>
        </w:rPr>
        <w:t xml:space="preserve"> and 11 June) 4.30pm-6.30pm UK time</w:t>
      </w:r>
    </w:p>
    <w:p w14:paraId="595063FD" w14:textId="77777777" w:rsidR="00AC56F5" w:rsidRDefault="00AC56F5"/>
    <w:sectPr w:rsidR="00AC5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26EB"/>
    <w:multiLevelType w:val="multilevel"/>
    <w:tmpl w:val="91D8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10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E5"/>
    <w:rsid w:val="001E33E5"/>
    <w:rsid w:val="005111BE"/>
    <w:rsid w:val="00647DDD"/>
    <w:rsid w:val="006D5824"/>
    <w:rsid w:val="00AC56F5"/>
    <w:rsid w:val="00F3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12F8"/>
  <w15:chartTrackingRefBased/>
  <w15:docId w15:val="{52ADCA60-3AD5-41BA-9FB2-32358AF9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3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33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E33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1E33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33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33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33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33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33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33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E33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1E33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33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33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33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33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33E5"/>
    <w:rPr>
      <w:rFonts w:eastAsiaTheme="majorEastAsia" w:cstheme="majorBidi"/>
      <w:color w:val="272727" w:themeColor="text1" w:themeTint="D8"/>
    </w:rPr>
  </w:style>
  <w:style w:type="paragraph" w:styleId="Title">
    <w:name w:val="Title"/>
    <w:basedOn w:val="Normal"/>
    <w:next w:val="Normal"/>
    <w:link w:val="TitleChar"/>
    <w:uiPriority w:val="10"/>
    <w:qFormat/>
    <w:rsid w:val="001E33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3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33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33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33E5"/>
    <w:pPr>
      <w:spacing w:before="160"/>
      <w:jc w:val="center"/>
    </w:pPr>
    <w:rPr>
      <w:i/>
      <w:iCs/>
      <w:color w:val="404040" w:themeColor="text1" w:themeTint="BF"/>
    </w:rPr>
  </w:style>
  <w:style w:type="character" w:customStyle="1" w:styleId="QuoteChar">
    <w:name w:val="Quote Char"/>
    <w:basedOn w:val="DefaultParagraphFont"/>
    <w:link w:val="Quote"/>
    <w:uiPriority w:val="29"/>
    <w:rsid w:val="001E33E5"/>
    <w:rPr>
      <w:i/>
      <w:iCs/>
      <w:color w:val="404040" w:themeColor="text1" w:themeTint="BF"/>
    </w:rPr>
  </w:style>
  <w:style w:type="paragraph" w:styleId="ListParagraph">
    <w:name w:val="List Paragraph"/>
    <w:basedOn w:val="Normal"/>
    <w:uiPriority w:val="34"/>
    <w:qFormat/>
    <w:rsid w:val="001E33E5"/>
    <w:pPr>
      <w:ind w:left="720"/>
      <w:contextualSpacing/>
    </w:pPr>
  </w:style>
  <w:style w:type="character" w:styleId="IntenseEmphasis">
    <w:name w:val="Intense Emphasis"/>
    <w:basedOn w:val="DefaultParagraphFont"/>
    <w:uiPriority w:val="21"/>
    <w:qFormat/>
    <w:rsid w:val="001E33E5"/>
    <w:rPr>
      <w:i/>
      <w:iCs/>
      <w:color w:val="0F4761" w:themeColor="accent1" w:themeShade="BF"/>
    </w:rPr>
  </w:style>
  <w:style w:type="paragraph" w:styleId="IntenseQuote">
    <w:name w:val="Intense Quote"/>
    <w:basedOn w:val="Normal"/>
    <w:next w:val="Normal"/>
    <w:link w:val="IntenseQuoteChar"/>
    <w:uiPriority w:val="30"/>
    <w:qFormat/>
    <w:rsid w:val="001E33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33E5"/>
    <w:rPr>
      <w:i/>
      <w:iCs/>
      <w:color w:val="0F4761" w:themeColor="accent1" w:themeShade="BF"/>
    </w:rPr>
  </w:style>
  <w:style w:type="character" w:styleId="IntenseReference">
    <w:name w:val="Intense Reference"/>
    <w:basedOn w:val="DefaultParagraphFont"/>
    <w:uiPriority w:val="32"/>
    <w:qFormat/>
    <w:rsid w:val="001E33E5"/>
    <w:rPr>
      <w:b/>
      <w:bCs/>
      <w:smallCaps/>
      <w:color w:val="0F4761" w:themeColor="accent1" w:themeShade="BF"/>
      <w:spacing w:val="5"/>
    </w:rPr>
  </w:style>
  <w:style w:type="paragraph" w:styleId="NormalWeb">
    <w:name w:val="Normal (Web)"/>
    <w:basedOn w:val="Normal"/>
    <w:uiPriority w:val="99"/>
    <w:semiHidden/>
    <w:unhideWhenUsed/>
    <w:rsid w:val="001E33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33E5"/>
    <w:rPr>
      <w:color w:val="0000FF"/>
      <w:u w:val="single"/>
    </w:rPr>
  </w:style>
  <w:style w:type="character" w:styleId="Strong">
    <w:name w:val="Strong"/>
    <w:basedOn w:val="DefaultParagraphFont"/>
    <w:uiPriority w:val="22"/>
    <w:qFormat/>
    <w:rsid w:val="001E3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cam.ac.uk/people/staff/gib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Parks</dc:creator>
  <cp:keywords/>
  <dc:description/>
  <cp:lastModifiedBy>Kat Parks</cp:lastModifiedBy>
  <cp:revision>1</cp:revision>
  <dcterms:created xsi:type="dcterms:W3CDTF">2024-03-25T11:06:00Z</dcterms:created>
  <dcterms:modified xsi:type="dcterms:W3CDTF">2024-03-25T11:07:00Z</dcterms:modified>
</cp:coreProperties>
</file>