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23" w:rsidRPr="00CC5FE0" w:rsidRDefault="00CC5FE0" w:rsidP="00CC5FE0">
      <w:pPr>
        <w:spacing w:after="0" w:line="240" w:lineRule="auto"/>
        <w:rPr>
          <w:rFonts w:cstheme="minorHAnsi"/>
          <w:b/>
          <w:sz w:val="24"/>
          <w:szCs w:val="24"/>
        </w:rPr>
      </w:pPr>
      <w:bookmarkStart w:id="0" w:name="_GoBack"/>
      <w:r w:rsidRPr="00CC5FE0">
        <w:rPr>
          <w:rFonts w:cstheme="minorHAnsi"/>
          <w:b/>
          <w:sz w:val="24"/>
          <w:szCs w:val="24"/>
        </w:rPr>
        <w:t>The Curse that Dare Not Speak its Name: Representing Menstruation in Comics</w:t>
      </w:r>
      <w:r w:rsidRPr="00CC5FE0">
        <w:rPr>
          <w:rFonts w:cstheme="minorHAnsi"/>
          <w:b/>
          <w:sz w:val="24"/>
          <w:szCs w:val="24"/>
        </w:rPr>
        <w:t xml:space="preserve"> – Notes</w:t>
      </w:r>
    </w:p>
    <w:bookmarkEnd w:id="0"/>
    <w:p w:rsidR="00CC5FE0" w:rsidRDefault="00CC5FE0" w:rsidP="00CC5FE0">
      <w:pPr>
        <w:pStyle w:val="NormalWeb"/>
        <w:shd w:val="clear" w:color="auto" w:fill="FFFFFF"/>
        <w:spacing w:before="0" w:beforeAutospacing="0" w:after="0" w:afterAutospacing="0"/>
      </w:pPr>
    </w:p>
    <w:p w:rsidR="00CC5FE0" w:rsidRDefault="00CC5FE0" w:rsidP="00CC5FE0">
      <w:pPr>
        <w:pStyle w:val="NormalWeb"/>
        <w:shd w:val="clear" w:color="auto" w:fill="FFFFFF"/>
        <w:spacing w:before="0" w:beforeAutospacing="0" w:after="0" w:afterAutospacing="0"/>
      </w:pPr>
      <w:r>
        <w:t xml:space="preserve">This talk discusses menstruation in comics and how comics can challenge assumptions about menstruation and the silences it evokes. Menstruation is rarely  discussed in culture </w:t>
      </w:r>
      <w:r>
        <w:fldChar w:fldCharType="begin" w:fldLock="1"/>
      </w:r>
      <w:r>
        <w:instrText>ADDIN CSL_CITATION {"citationItems":[{"id":"ITEM-1","itemData":{"author":[{"dropping-particle":"","family":"Houppert","given":"Karen","non-dropping-particle":"","parse-names":false,"suffix":""}],"container-title":"Making Sense of Women's Lives: An Introduction to Women's Studies","editor":[{"dropping-particle":"","family":"Plott","given":"Michelle","non-dropping-particle":"","parse-names":false,"suffix":""},{"dropping-particle":"","family":"Umansky","given":"Lauri","non-dropping-particle":"","parse-names":false,"suffix":""}],"id":"ITEM-1","issued":{"date-parts":[["2000"]]},"page":"31-39","publisher":"Rowman and Littlefield Publishers Inc.","publisher-place":"Lanham, Maryland","title":"The Curse","type":"chapter"},"uris":["http://www.mendeley.com/documents/?uuid=d7823c41-80bf-4cf8-bcce-98918efb6ac2"]},{"id":"ITEM-2","itemData":{"author":[{"dropping-particle":"","family":"Wood","given":"Jill M.","non-dropping-particle":"","parse-names":false,"suffix":""}],"container-title":"The Palgrave Handbook of Critical Menstrual Studies","editor":[{"dropping-particle":"","family":"Bobel","given":"Chris","non-dropping-particle":"","parse-names":false,"suffix":""},{"dropping-particle":"","family":"Fahs","given":"Breanne","non-dropping-particle":"","parse-names":false,"suffix":""},{"dropping-particle":"","family":"Hasson","given":"Katie Ann","non-dropping-particle":"","parse-names":false,"suffix":""},{"dropping-particle":"","family":"Kissling","given":"Elizabeth","non-dropping-particle":"","parse-names":false,"suffix":""},{"dropping-particle":"","family":"Roberts","given":"Tomi-Ann","non-dropping-particle":"","parse-names":false,"suffix":""},{"dropping-particle":"","family":"Winkler","given":"Inga","non-dropping-particle":"","parse-names":false,"suffix":""}],"id":"ITEM-2","issued":{"date-parts":[["2020"]]},"page":"319-336","publisher":"Palgrave Macmillan","publisher-place":"London ; New York","title":"(In)Visible Bleeding: The Menstrual Concealment Imperative","type":"chapter"},"uris":["http://www.mendeley.com/documents/?uuid=7d89f878-957a-4893-9d79-26d2ae075266"]}],"mendeley":{"formattedCitation":"(Houppert 2000; Wood 2020)","plainTextFormattedCitation":"(Houppert 2000; Wood 2020)","previouslyFormattedCitation":"(Houppert 2000; Wood 2020)"},"properties":{"noteIndex":0},"schema":"https://github.com/citation-style-language/schema/raw/master/csl-citation.json"}</w:instrText>
      </w:r>
      <w:r>
        <w:fldChar w:fldCharType="separate"/>
      </w:r>
      <w:r w:rsidRPr="0008530F">
        <w:rPr>
          <w:noProof/>
        </w:rPr>
        <w:t>(Houppert 2000; Wood 2020)</w:t>
      </w:r>
      <w:r>
        <w:fldChar w:fldCharType="end"/>
      </w:r>
      <w:r>
        <w:t xml:space="preserve"> but it has recently become more prevalent with the release of films like </w:t>
      </w:r>
      <w:r>
        <w:rPr>
          <w:i/>
        </w:rPr>
        <w:t xml:space="preserve">Is That You God?  This is Me Margaret </w:t>
      </w:r>
      <w:r>
        <w:t xml:space="preserve">(2023) adapted from the 1972 Judy Blume book and menstrual activism.  Comics rarely represent menstruation - it is mostly found in autobiographic, graphic medicine and educational genres. Often the analytical approaches used concentrate on the grotesque body and include monstrosity </w:t>
      </w:r>
      <w:r>
        <w:fldChar w:fldCharType="begin" w:fldLock="1"/>
      </w:r>
      <w:r>
        <w:instrText>ADDIN CSL_CITATION {"citationItems":[{"id":"ITEM-1","itemData":{"abstract":"The comics of Julie Doucet can be productively interpreted in light of Mikhail Bakhtin’sexploration of the carnivalesque and its aesthetic expression as grotesque realism.By employing subject matter and a visual style grounded in the grotesque, Doucet’scomics challenge normative notions of the female body through a process of resigni-fication based in parody and unruly embodiment. These ideas connect to theories ofresistance and subversion as articulated by Judith Butler, among others, as well as toformalist theories of style and the ways comics produce meaning and identification.Close readings of Doucet’s stories demonstrate how her comics perform a feministcritique by redeploying masculinist tropes belonging to ‘high’ culture as grotesqueimages in the ‘low’ form of comics. The combination of grotesque subject matter andan untraditional visual style serves to critically unsettle the visual pleasure associatedwith representations of women in comics.","author":[{"dropping-particle":"","family":"Køhlert","given":"Frederik Byrn","non-dropping-particle":"","parse-names":false,"suffix":""}],"container-title":"Journal of Graphic Novels and Comics","id":"ITEM-1","issue":"1","issued":{"date-parts":[["2012"]]},"page":"19-38","title":"Female grotesques: carnivalesque subversion in the comics of Julie Doucet","type":"article-journal","volume":"3"},"uris":["http://www.mendeley.com/documents/?uuid=e7fd32c4-b208-4cea-8763-24881217b02c"]},{"id":"ITEM-2","itemData":{"DOI":"https://dx.doi.org/10.21659/rupkatha.v12n6.08","abstract":"Beyond its medical definition as a natural phenomenon concerning the female body, menstruation is a term that is overburdened with a plethora of distorted cultural and religious meanings. Through the centuries, the biological process of the monthly expulsion of non-pregnant women's uterus lining is popularly misunderstood as a profane activity. Despite the surplus of awareness measurements to educate masses about menstruation's biological underpinnings, societal negligence towards women’s incapacitating experiential realities associated with menstruation continues even in the twenty-first century. Accordingly, Paula Knight’s graphic medical memoir on infertility, titled The Facts of Life (2017), offers a distinctive perspective about menstruation through the creative deployment of the lycanthrope metaphor. By depicting her menstruating self as a lone werewolf, Knight offers a compelling representation of menstruating women's abysmal corporeal and cultural anxieties. By close reading relevant images from Knight’s memoir and drawing theoretical insights from Victoria Louise Newton and Elizabeth El Refaie, this article analyses how graphic medicine necessitates a humane and non-stigmatizing approach to menstruation.","author":[{"dropping-particle":"","family":"Venkatesan","given":"Sathyaraj","non-dropping-particle":"","parse-names":false,"suffix":""},{"dropping-particle":"","family":"Pater","given":"Anu Mary","non-dropping-particle":"","parse-names":false,"suffix":""}],"container-title":"Rupkatha Journal on Interdisciplinary Studies in Humanities","id":"ITEM-2","issue":"6","issued":{"date-parts":[["2020"]]},"page":"1-8","title":"Visualizing Shame: Menstruation, Graphic Medicine, and the Discourse of Lycanthropy","type":"article-journal","volume":"12"},"uris":["http://www.mendeley.com/documents/?uuid=2fa5e2a2-a0ff-4927-879d-eb864184f48d"]}],"mendeley":{"formattedCitation":"(Køhlert 2012; Venkatesan and Pater 2020)","plainTextFormattedCitation":"(Køhlert 2012; Venkatesan and Pater 2020)","previouslyFormattedCitation":"(Køhlert 2012; Venkatesan and Pater 2020)"},"properties":{"noteIndex":0},"schema":"https://github.com/citation-style-language/schema/raw/master/csl-citation.json"}</w:instrText>
      </w:r>
      <w:r>
        <w:fldChar w:fldCharType="separate"/>
      </w:r>
      <w:r w:rsidRPr="003D0751">
        <w:rPr>
          <w:noProof/>
        </w:rPr>
        <w:t>(Køhlert 2012; Venkatesan and Pater 2020)</w:t>
      </w:r>
      <w:r>
        <w:fldChar w:fldCharType="end"/>
      </w:r>
      <w:r>
        <w:t xml:space="preserve">, stigma, shame and secrecy using the theories of Michel Foucault </w:t>
      </w:r>
      <w:r>
        <w:fldChar w:fldCharType="begin" w:fldLock="1"/>
      </w:r>
      <w:r>
        <w:instrText>ADDIN CSL_CITATION {"citationItems":[{"id":"ITEM-1","itemData":{"ISSN":"15715078","PMID":"1683062","author":[{"dropping-particle":"","family":"Foucault","given":"Michèl","non-dropping-particle":"","parse-names":false,"suffix":""}],"container-title":"Essential Works of Foucault","editor":[{"dropping-particle":"","family":"Rabinow","given":"Paul","non-dropping-particle":"","parse-names":false,"suffix":""}],"id":"ITEM-1","issued":{"date-parts":[["1984"]]},"page":"179-187","publisher":"Pantheon Books","publisher-place":"New York","title":"Docile Bodies","type":"chapter"},"uris":["http://www.mendeley.com/documents/?uuid=21b4e571-db13-4335-aa74-e60d741bcab1"]},{"id":"ITEM-2","itemData":{"author":[{"dropping-particle":"","family":"Foucault","given":"Michèl","non-dropping-particle":"","parse-names":false,"suffix":""}],"id":"ITEM-2","issued":{"date-parts":[["1973"]]},"publisher":"Pantheon Books","publisher-place":"New York","title":"The Birth of the Clinic: An Archaeology of Medical Perception","type":"book"},"uris":["http://www.mendeley.com/documents/?uuid=8938bc39-a28c-49cf-9cd8-1daf2a0c3253"]},{"id":"ITEM-3","itemData":{"abstract":"The recent boom in feminist comics by Swedish artists has produced a body of work that has only recently come to the attention of English-language readers. This article focuses on the comics of Liv Strömquist, specifically Fruit of Knowledge: The Vulva vs. The Patriarchy (2018), the first of her booklength works to be published in English translation. Strömquist’s text is situated in the broader context of feminist comics, particularly the work of Julie Doucet. Drawing on Swedish sources including reviews, interviews and comics scholarship, the article examines how Strömquist uses the comics medium to challenge and re-signify dominant representations of gender, sexuality and the body.","author":[{"dropping-particle":"","family":"Frangos","given":"Mike Classon","non-dropping-particle":"","parse-names":false,"suffix":""}],"container-title":"European Comic Art","id":"ITEM-3","issue":"1","issued":{"date-parts":[["2020"]]},"page":"45-69","title":"Liv Strömquist’s Fruit of Knowledge and the Gender of Comics","type":"article-journal","volume":"13"},"uris":["http://www.mendeley.com/documents/?uuid=1635fa55-874e-407b-8545-c10d08b4384a"]}],"mendeley":{"formattedCitation":"(Foucault 1984; 1973; Frangos 2020)","manualFormatting":"(1984; 1973; Frangos 2020)","plainTextFormattedCitation":"(Foucault 1984; 1973; Frangos 2020)","previouslyFormattedCitation":"(Foucault 1984; 1973; Frangos 2020)"},"properties":{"noteIndex":0},"schema":"https://github.com/citation-style-language/schema/raw/master/csl-citation.json"}</w:instrText>
      </w:r>
      <w:r>
        <w:fldChar w:fldCharType="separate"/>
      </w:r>
      <w:r>
        <w:rPr>
          <w:noProof/>
        </w:rPr>
        <w:t>(</w:t>
      </w:r>
      <w:r w:rsidRPr="003D0751">
        <w:rPr>
          <w:noProof/>
        </w:rPr>
        <w:t>1984; 1973; Frangos 2020)</w:t>
      </w:r>
      <w:r>
        <w:fldChar w:fldCharType="end"/>
      </w:r>
      <w:r>
        <w:t xml:space="preserve">, Erving Goffman </w:t>
      </w:r>
      <w:r>
        <w:fldChar w:fldCharType="begin" w:fldLock="1"/>
      </w:r>
      <w:r>
        <w:instrText>ADDIN CSL_CITATION {"citationItems":[{"id":"ITEM-1","itemData":{"author":[{"dropping-particle":"","family":"Goffman","given":"Erving","non-dropping-particle":"","parse-names":false,"suffix":""}],"id":"ITEM-1","issued":{"date-parts":[["1963"]]},"publisher":"Prentice-Hall","publisher-place":"Englewood Cliffs NJ","title":"Stigma: Notes on the Management of Spoiled Identity","type":"book"},"uris":["http://www.mendeley.com/documents/?uuid=96fa3d2b-02fc-473b-9a08-731d77e85174"]},{"id":"ITEM-2","itemData":{"author":[{"dropping-particle":"","family":"Goffman","given":"Erving","non-dropping-particle":"","parse-names":false,"suffix":""}],"id":"ITEM-2","issued":{"date-parts":[["1959"]]},"publisher":"Doubleday","publisher-place":"Garden City, NY","title":"The Presentation Of Self In Everyday Life","type":"book"},"uris":["http://www.mendeley.com/documents/?uuid=2d0c9c27-8569-4a1e-a5ba-104e0ca47709"]}],"mendeley":{"formattedCitation":"(Goffman 1963; 1959)","manualFormatting":"(1963; 1959)","plainTextFormattedCitation":"(Goffman 1963; 1959)","previouslyFormattedCitation":"(Goffman 1963; 1959)"},"properties":{"noteIndex":0},"schema":"https://github.com/citation-style-language/schema/raw/master/csl-citation.json"}</w:instrText>
      </w:r>
      <w:r>
        <w:fldChar w:fldCharType="separate"/>
      </w:r>
      <w:r>
        <w:rPr>
          <w:noProof/>
        </w:rPr>
        <w:t>(</w:t>
      </w:r>
      <w:r w:rsidRPr="001C3E2D">
        <w:rPr>
          <w:noProof/>
        </w:rPr>
        <w:t>1963; 1959)</w:t>
      </w:r>
      <w:r>
        <w:fldChar w:fldCharType="end"/>
      </w:r>
      <w:r>
        <w:t xml:space="preserve">, Mikhail Bakhtin </w:t>
      </w:r>
      <w:r>
        <w:fldChar w:fldCharType="begin" w:fldLock="1"/>
      </w:r>
      <w:r>
        <w:instrText>ADDIN CSL_CITATION {"citationItems":[{"id":"ITEM-1","itemData":{"author":[{"dropping-particle":"","family":"Bakhtin","given":"M. M.","non-dropping-particle":"","parse-names":false,"suffix":""}],"id":"ITEM-1","issued":{"date-parts":[["1968"]]},"publisher":"M.I.T. Press","publisher-place":"Cambridge, Mass.","title":"Rabelais and His World","type":"book"},"uris":["http://www.mendeley.com/documents/?uuid=eb7e3cdc-bf88-4ce7-924b-c833fb4249cc"]}],"mendeley":{"formattedCitation":"(Bakhtin 1968)","manualFormatting":"(1968)","plainTextFormattedCitation":"(Bakhtin 1968)","previouslyFormattedCitation":"(Bakhtin 1968)"},"properties":{"noteIndex":0},"schema":"https://github.com/citation-style-language/schema/raw/master/csl-citation.json"}</w:instrText>
      </w:r>
      <w:r>
        <w:fldChar w:fldCharType="separate"/>
      </w:r>
      <w:r>
        <w:rPr>
          <w:noProof/>
        </w:rPr>
        <w:t>(</w:t>
      </w:r>
      <w:r w:rsidRPr="001C3E2D">
        <w:rPr>
          <w:noProof/>
        </w:rPr>
        <w:t>1968)</w:t>
      </w:r>
      <w:r>
        <w:fldChar w:fldCharType="end"/>
      </w:r>
      <w:r>
        <w:t xml:space="preserve"> and Julia </w:t>
      </w:r>
      <w:proofErr w:type="spellStart"/>
      <w:r>
        <w:t>Kristeva</w:t>
      </w:r>
      <w:proofErr w:type="spellEnd"/>
      <w:r>
        <w:t xml:space="preserve"> </w:t>
      </w:r>
      <w:r>
        <w:fldChar w:fldCharType="begin" w:fldLock="1"/>
      </w:r>
      <w:r>
        <w:instrText>ADDIN CSL_CITATION {"citationItems":[{"id":"ITEM-1","itemData":{"author":[{"dropping-particle":"","family":"Kristeva","given":"Julia","non-dropping-particle":"","parse-names":false,"suffix":""},{"dropping-particle":"","family":"Roudiez","given":"Leon S","non-dropping-particle":"","parse-names":false,"suffix":""}],"id":"ITEM-1","issued":{"date-parts":[["1982"]]},"publisher":"Colombia University Press","publisher-place":"New York","title":"Powers of Horror: an Essay in Abjection","type":"book"},"uris":["http://www.mendeley.com/documents/?uuid=c8d745d3-ec38-4ca0-b6f3-2990bfd73173"]}],"mendeley":{"formattedCitation":"(Kristeva and Roudiez 1982)","manualFormatting":"(1982)","plainTextFormattedCitation":"(Kristeva and Roudiez 1982)","previouslyFormattedCitation":"(Kristeva and Roudiez 1982)"},"properties":{"noteIndex":0},"schema":"https://github.com/citation-style-language/schema/raw/master/csl-citation.json"}</w:instrText>
      </w:r>
      <w:r>
        <w:fldChar w:fldCharType="separate"/>
      </w:r>
      <w:r>
        <w:rPr>
          <w:noProof/>
        </w:rPr>
        <w:t>(</w:t>
      </w:r>
      <w:r w:rsidRPr="001C3E2D">
        <w:rPr>
          <w:noProof/>
        </w:rPr>
        <w:t>1982)</w:t>
      </w:r>
      <w:r>
        <w:fldChar w:fldCharType="end"/>
      </w:r>
      <w:r>
        <w:t xml:space="preserve">.  </w:t>
      </w:r>
    </w:p>
    <w:p w:rsidR="00CC5FE0" w:rsidRDefault="00CC5FE0" w:rsidP="00CC5FE0">
      <w:pPr>
        <w:pStyle w:val="NormalWeb"/>
        <w:shd w:val="clear" w:color="auto" w:fill="FFFFFF"/>
        <w:spacing w:before="0" w:beforeAutospacing="0" w:after="0" w:afterAutospacing="0"/>
      </w:pPr>
    </w:p>
    <w:p w:rsidR="00CC5FE0" w:rsidRDefault="00CC5FE0" w:rsidP="00CC5FE0">
      <w:pPr>
        <w:pStyle w:val="NormalWeb"/>
        <w:shd w:val="clear" w:color="auto" w:fill="FFFFFF"/>
        <w:spacing w:before="0" w:beforeAutospacing="0" w:after="0" w:afterAutospacing="0"/>
        <w:rPr>
          <w:color w:val="222222"/>
        </w:rPr>
      </w:pPr>
      <w:r>
        <w:t xml:space="preserve">However, issues surrounding menstruation can open up debates on gender binaries </w:t>
      </w:r>
      <w:r>
        <w:fldChar w:fldCharType="begin" w:fldLock="1"/>
      </w:r>
      <w:r>
        <w:instrText>ADDIN CSL_CITATION {"citationItems":[{"id":"ITEM-1","itemData":{"author":[{"dropping-particle":"","family":"Frank","given":"S.E.","non-dropping-particle":"","parse-names":false,"suffix":""},{"dropping-particle":"","family":"Dellaria","given":"Jac","non-dropping-particle":"","parse-names":false,"suffix":""}],"container-title":"The Palgrave Handbook of Critical Menstrual Studies","editor":[{"dropping-particle":"","family":"Bobel","given":"Chris","non-dropping-particle":"","parse-names":false,"suffix":""},{"dropping-particle":"","family":"Fahs","given":"Breanne","non-dropping-particle":"","parse-names":false,"suffix":""},{"dropping-particle":"","family":"Hasson","given":"Katie Ann","non-dropping-particle":"","parse-names":false,"suffix":""},{"dropping-particle":"","family":"Kissling","given":"Elizabeth","non-dropping-particle":"","parse-names":false,"suffix":""},{"dropping-particle":"","family":"Roberts","given":"Tomi-Ann","non-dropping-particle":"","parse-names":false,"suffix":""},{"dropping-particle":"","family":"Winkler","given":"Inga","non-dropping-particle":"","parse-names":false,"suffix":""}],"id":"ITEM-1","issued":{"date-parts":[["2020"]]},"page":"69-76","publisher-place":"London ; New York","title":"Navigating the Binary: A Visual Narrative of Trans and Genderqueer Menstruation","type":"chapter"},"uris":["http://www.mendeley.com/documents/?uuid=7fee5846-7ce1-47e6-b2e2-77c9ea846cf0"]}],"mendeley":{"formattedCitation":"(Frank and Dellaria 2020)","plainTextFormattedCitation":"(Frank and Dellaria 2020)","previouslyFormattedCitation":"(Frank and Dellaria 2020)"},"properties":{"noteIndex":0},"schema":"https://github.com/citation-style-language/schema/raw/master/csl-citation.json"}</w:instrText>
      </w:r>
      <w:r>
        <w:fldChar w:fldCharType="separate"/>
      </w:r>
      <w:r w:rsidRPr="00B20B81">
        <w:rPr>
          <w:noProof/>
        </w:rPr>
        <w:t>(Frank and Dellaria 2020)</w:t>
      </w:r>
      <w:r>
        <w:fldChar w:fldCharType="end"/>
      </w:r>
      <w:r>
        <w:t xml:space="preserve"> and diverse attitudes towards menstruators in transnational contexts </w:t>
      </w:r>
      <w:r>
        <w:fldChar w:fldCharType="begin" w:fldLock="1"/>
      </w:r>
      <w:r>
        <w:instrText>ADDIN CSL_CITATION {"citationItems":[{"id":"ITEM-1","itemData":{"abstract":"Deepthi Sukumar uses her personal experiences of menstruation as a Dalit woman to bring out the intersectionality of caste and gender in menstrual taboos. She explains the different cultural backgrounds of women in India and the patriarchal design of using menstrual taboos for male supremacy and caste hierarchy. While exploring and analyzing the different patterns of menstrual taboos and their implications, Sukumar shows the gaps in feminist understanding of the intersectionality of caste and patriarchy. She concludes by observing that the discourse on menstrual taboos should become the focal point to build inclusion and understand gender inequality and oppression within the framework of intersectionality.","author":[{"dropping-particle":"","family":"Sukumar","given":"Deepthi","non-dropping-particle":"","parse-names":false,"suffix":""}],"container-title":"Palgrave Handbook of Critical Menstruation Studies","editor":[{"dropping-particle":"","family":"Bobel","given":"Chris","non-dropping-particle":"","parse-names":false,"suffix":""},{"dropping-particle":"","family":"Winkler","given":"Inga T.","non-dropping-particle":"","parse-names":false,"suffix":""},{"dropping-particle":"","family":"Fahs","given":"Breanne","non-dropping-particle":"","parse-names":false,"suffix":""},{"dropping-particle":"","family":"Hasson","given":"Katie Ann","non-dropping-particle":"","parse-names":false,"suffix":""},{"dropping-particle":"","family":"Kissling","given":"Elizabeth Arveda","non-dropping-particle":"","parse-names":false,"suffix":""},{"dropping-particle":"","family":"Roberts","given":"Tomi-Ann","non-dropping-particle":"","parse-names":false,"suffix":""}],"id":"ITEM-1","issued":{"date-parts":[["2020"]]},"page":"137-142","publisher":"Palgrave","publisher-place":"London","title":"Personal Narrative: Caste Is My Period","type":"chapter"},"uris":["http://www.mendeley.com/documents/?uuid=a7be7228-e5f4-4e80-a216-9807d42603d4"]}],"mendeley":{"formattedCitation":"(Sukumar 2020)","plainTextFormattedCitation":"(Sukumar 2020)","previouslyFormattedCitation":"(Sukumar 2020)"},"properties":{"noteIndex":0},"schema":"https://github.com/citation-style-language/schema/raw/master/csl-citation.json"}</w:instrText>
      </w:r>
      <w:r>
        <w:fldChar w:fldCharType="separate"/>
      </w:r>
      <w:r w:rsidRPr="00B20B81">
        <w:rPr>
          <w:noProof/>
        </w:rPr>
        <w:t>(Sukumar 2020)</w:t>
      </w:r>
      <w:r>
        <w:fldChar w:fldCharType="end"/>
      </w:r>
      <w:r>
        <w:t xml:space="preserve">. </w:t>
      </w:r>
      <w:r>
        <w:rPr>
          <w:color w:val="222222"/>
        </w:rPr>
        <w:t xml:space="preserve">This paper </w:t>
      </w:r>
      <w:r>
        <w:t xml:space="preserve">uses case studies from autobiographic, superhero and educational comics to show how different approaches can be used to open up other avenues of analysis beyond the grotesque. </w:t>
      </w:r>
      <w:r>
        <w:rPr>
          <w:color w:val="222222"/>
        </w:rPr>
        <w:t>T</w:t>
      </w:r>
      <w:r w:rsidRPr="00B47C5D">
        <w:rPr>
          <w:color w:val="222222"/>
        </w:rPr>
        <w:t>he case studies show that the problems faced by menstruating people can be addressed through comic</w:t>
      </w:r>
      <w:r>
        <w:rPr>
          <w:color w:val="222222"/>
        </w:rPr>
        <w:t>’</w:t>
      </w:r>
      <w:r w:rsidRPr="00B47C5D">
        <w:rPr>
          <w:color w:val="222222"/>
        </w:rPr>
        <w:t>s capacity to enlighten, educate and promote positive messages about the menstruating body.</w:t>
      </w:r>
    </w:p>
    <w:p w:rsidR="00CC5FE0" w:rsidRDefault="00CC5FE0" w:rsidP="00CC5FE0">
      <w:pPr>
        <w:spacing w:after="0" w:line="240" w:lineRule="auto"/>
        <w:rPr>
          <w:rFonts w:cstheme="minorHAnsi"/>
          <w:sz w:val="24"/>
          <w:szCs w:val="24"/>
        </w:rPr>
      </w:pPr>
    </w:p>
    <w:p w:rsidR="00CC5FE0" w:rsidRDefault="00CC5FE0" w:rsidP="00CC5FE0">
      <w:pPr>
        <w:spacing w:after="0" w:line="240" w:lineRule="auto"/>
      </w:pPr>
      <w:r>
        <w:t>There were few comics or graphic novels that dealt exclusively with menstruation. I refer to the following:</w:t>
      </w:r>
    </w:p>
    <w:p w:rsidR="00000000" w:rsidRPr="00CC5FE0" w:rsidRDefault="00CC5FE0" w:rsidP="00CC5FE0">
      <w:pPr>
        <w:spacing w:after="0" w:line="240" w:lineRule="auto"/>
      </w:pPr>
      <w:r w:rsidRPr="00CC5FE0">
        <w:rPr>
          <w:b/>
          <w:bCs/>
        </w:rPr>
        <w:t>Autobiography</w:t>
      </w:r>
    </w:p>
    <w:p w:rsidR="00000000" w:rsidRPr="00CC5FE0" w:rsidRDefault="00CC5FE0" w:rsidP="00CC5FE0">
      <w:pPr>
        <w:spacing w:after="0" w:line="240" w:lineRule="auto"/>
      </w:pPr>
      <w:r w:rsidRPr="00CC5FE0">
        <w:t xml:space="preserve">Julie </w:t>
      </w:r>
      <w:proofErr w:type="spellStart"/>
      <w:r w:rsidRPr="00CC5FE0">
        <w:t>Doucet</w:t>
      </w:r>
      <w:proofErr w:type="spellEnd"/>
      <w:r w:rsidRPr="00CC5FE0">
        <w:t xml:space="preserve"> </w:t>
      </w:r>
      <w:r w:rsidRPr="00CC5FE0">
        <w:rPr>
          <w:i/>
          <w:iCs/>
        </w:rPr>
        <w:t xml:space="preserve">Dirty </w:t>
      </w:r>
      <w:proofErr w:type="spellStart"/>
      <w:r w:rsidRPr="00CC5FE0">
        <w:rPr>
          <w:i/>
          <w:iCs/>
        </w:rPr>
        <w:t>Plotte</w:t>
      </w:r>
      <w:proofErr w:type="spellEnd"/>
      <w:r w:rsidRPr="00CC5FE0">
        <w:rPr>
          <w:i/>
          <w:iCs/>
        </w:rPr>
        <w:t>/ Heavy F</w:t>
      </w:r>
      <w:r w:rsidRPr="00CC5FE0">
        <w:rPr>
          <w:i/>
          <w:iCs/>
        </w:rPr>
        <w:t>low</w:t>
      </w:r>
    </w:p>
    <w:p w:rsidR="00000000" w:rsidRPr="00CC5FE0" w:rsidRDefault="00CC5FE0" w:rsidP="00CC5FE0">
      <w:pPr>
        <w:spacing w:after="0" w:line="240" w:lineRule="auto"/>
      </w:pPr>
      <w:r w:rsidRPr="00CC5FE0">
        <w:t>Liv</w:t>
      </w:r>
      <w:r w:rsidRPr="00CC5FE0">
        <w:rPr>
          <w:i/>
          <w:iCs/>
        </w:rPr>
        <w:t xml:space="preserve"> </w:t>
      </w:r>
      <w:proofErr w:type="spellStart"/>
      <w:r w:rsidRPr="00CC5FE0">
        <w:t>Strömquist</w:t>
      </w:r>
      <w:proofErr w:type="spellEnd"/>
      <w:r w:rsidRPr="00CC5FE0">
        <w:t xml:space="preserve"> </w:t>
      </w:r>
      <w:proofErr w:type="gramStart"/>
      <w:r w:rsidRPr="00CC5FE0">
        <w:rPr>
          <w:i/>
          <w:iCs/>
        </w:rPr>
        <w:t>The</w:t>
      </w:r>
      <w:proofErr w:type="gramEnd"/>
      <w:r w:rsidRPr="00CC5FE0">
        <w:rPr>
          <w:i/>
          <w:iCs/>
        </w:rPr>
        <w:t xml:space="preserve"> Fruit of Knowledge: the Vulva vs The Patriarchy</w:t>
      </w:r>
    </w:p>
    <w:p w:rsidR="00000000" w:rsidRPr="00CC5FE0" w:rsidRDefault="00CC5FE0" w:rsidP="00CC5FE0">
      <w:pPr>
        <w:spacing w:after="0" w:line="240" w:lineRule="auto"/>
      </w:pPr>
      <w:r w:rsidRPr="00CC5FE0">
        <w:t xml:space="preserve">Paula Knight </w:t>
      </w:r>
      <w:proofErr w:type="gramStart"/>
      <w:r w:rsidRPr="00CC5FE0">
        <w:rPr>
          <w:i/>
          <w:iCs/>
        </w:rPr>
        <w:t>The</w:t>
      </w:r>
      <w:proofErr w:type="gramEnd"/>
      <w:r w:rsidRPr="00CC5FE0">
        <w:rPr>
          <w:i/>
          <w:iCs/>
        </w:rPr>
        <w:t xml:space="preserve"> Facts of Life</w:t>
      </w:r>
    </w:p>
    <w:p w:rsidR="00000000" w:rsidRPr="00CC5FE0" w:rsidRDefault="00CC5FE0" w:rsidP="00CC5FE0">
      <w:pPr>
        <w:spacing w:after="0" w:line="240" w:lineRule="auto"/>
      </w:pPr>
      <w:r w:rsidRPr="00CC5FE0">
        <w:t xml:space="preserve">Sarah Anderson </w:t>
      </w:r>
      <w:r w:rsidRPr="00CC5FE0">
        <w:rPr>
          <w:i/>
          <w:iCs/>
        </w:rPr>
        <w:t>Sarah’s Scribbles</w:t>
      </w:r>
      <w:r>
        <w:rPr>
          <w:i/>
          <w:iCs/>
        </w:rPr>
        <w:t>, Big Happy, Mushy Lump</w:t>
      </w:r>
    </w:p>
    <w:p w:rsidR="00000000" w:rsidRPr="00CC5FE0" w:rsidRDefault="00CC5FE0" w:rsidP="00CC5FE0">
      <w:pPr>
        <w:spacing w:after="0" w:line="240" w:lineRule="auto"/>
      </w:pPr>
      <w:r w:rsidRPr="00CC5FE0">
        <w:rPr>
          <w:b/>
          <w:bCs/>
        </w:rPr>
        <w:t xml:space="preserve">Education </w:t>
      </w:r>
    </w:p>
    <w:p w:rsidR="00000000" w:rsidRPr="00CC5FE0" w:rsidRDefault="00CC5FE0" w:rsidP="00CC5FE0">
      <w:pPr>
        <w:spacing w:after="0" w:line="240" w:lineRule="auto"/>
      </w:pPr>
      <w:r w:rsidRPr="00CC5FE0">
        <w:rPr>
          <w:bCs/>
          <w:i/>
          <w:iCs/>
        </w:rPr>
        <w:t xml:space="preserve">UNICEF </w:t>
      </w:r>
      <w:r w:rsidRPr="00CC5FE0">
        <w:rPr>
          <w:bCs/>
        </w:rPr>
        <w:t>comic (2016)</w:t>
      </w:r>
    </w:p>
    <w:p w:rsidR="00000000" w:rsidRPr="00CC5FE0" w:rsidRDefault="00CC5FE0" w:rsidP="00CC5FE0">
      <w:pPr>
        <w:spacing w:after="0" w:line="240" w:lineRule="auto"/>
      </w:pPr>
      <w:proofErr w:type="spellStart"/>
      <w:r w:rsidRPr="00CC5FE0">
        <w:rPr>
          <w:bCs/>
          <w:i/>
          <w:iCs/>
        </w:rPr>
        <w:t>Menstrupedia</w:t>
      </w:r>
      <w:proofErr w:type="spellEnd"/>
      <w:r w:rsidRPr="00CC5FE0">
        <w:rPr>
          <w:bCs/>
          <w:i/>
          <w:iCs/>
        </w:rPr>
        <w:t xml:space="preserve"> (2016)</w:t>
      </w:r>
    </w:p>
    <w:p w:rsidR="00000000" w:rsidRPr="00CC5FE0" w:rsidRDefault="00CC5FE0" w:rsidP="00CC5FE0">
      <w:pPr>
        <w:spacing w:after="0" w:line="240" w:lineRule="auto"/>
      </w:pPr>
      <w:r w:rsidRPr="00CC5FE0">
        <w:rPr>
          <w:bCs/>
          <w:i/>
          <w:iCs/>
        </w:rPr>
        <w:t>The Mean Magenta/ Go with the Flow (2020)</w:t>
      </w:r>
    </w:p>
    <w:p w:rsidR="00000000" w:rsidRPr="00CC5FE0" w:rsidRDefault="00CC5FE0" w:rsidP="00CC5FE0">
      <w:pPr>
        <w:spacing w:after="0" w:line="240" w:lineRule="auto"/>
      </w:pPr>
      <w:r w:rsidRPr="00CC5FE0">
        <w:rPr>
          <w:b/>
          <w:bCs/>
        </w:rPr>
        <w:t>Superhero</w:t>
      </w:r>
      <w:r w:rsidRPr="00CC5FE0">
        <w:t xml:space="preserve"> </w:t>
      </w:r>
    </w:p>
    <w:p w:rsidR="00000000" w:rsidRPr="00CC5FE0" w:rsidRDefault="00CC5FE0" w:rsidP="00CC5FE0">
      <w:pPr>
        <w:spacing w:after="0" w:line="240" w:lineRule="auto"/>
      </w:pPr>
      <w:r w:rsidRPr="00CC5FE0">
        <w:t xml:space="preserve">Emilia Clarke, Marguerite Bennett, Isobel Richardson, Jo Radcliffe, Leila </w:t>
      </w:r>
      <w:proofErr w:type="spellStart"/>
      <w:r w:rsidRPr="00CC5FE0">
        <w:t>Leiz</w:t>
      </w:r>
      <w:proofErr w:type="spellEnd"/>
      <w:r w:rsidRPr="00CC5FE0">
        <w:t xml:space="preserve"> </w:t>
      </w:r>
      <w:r w:rsidRPr="00CC5FE0">
        <w:rPr>
          <w:i/>
          <w:iCs/>
        </w:rPr>
        <w:t>MOM (Mother of Madness</w:t>
      </w:r>
      <w:r w:rsidRPr="00CC5FE0">
        <w:t>) (Im</w:t>
      </w:r>
      <w:r w:rsidRPr="00CC5FE0">
        <w:t>age 2020)</w:t>
      </w:r>
    </w:p>
    <w:p w:rsidR="00000000" w:rsidRPr="00CC5FE0" w:rsidRDefault="00CC5FE0" w:rsidP="00CC5FE0">
      <w:pPr>
        <w:spacing w:after="0" w:line="240" w:lineRule="auto"/>
      </w:pPr>
      <w:r w:rsidRPr="00CC5FE0">
        <w:rPr>
          <w:b/>
          <w:bCs/>
        </w:rPr>
        <w:t>Trans and Genderqueer Comics</w:t>
      </w:r>
      <w:r w:rsidRPr="00CC5FE0">
        <w:t xml:space="preserve"> </w:t>
      </w:r>
    </w:p>
    <w:p w:rsidR="00000000" w:rsidRPr="00CC5FE0" w:rsidRDefault="00CC5FE0" w:rsidP="00CC5FE0">
      <w:pPr>
        <w:spacing w:after="0" w:line="240" w:lineRule="auto"/>
      </w:pPr>
      <w:r w:rsidRPr="00CC5FE0">
        <w:t xml:space="preserve">S. E. Frank and </w:t>
      </w:r>
      <w:proofErr w:type="spellStart"/>
      <w:r w:rsidRPr="00CC5FE0">
        <w:t>Jac</w:t>
      </w:r>
      <w:proofErr w:type="spellEnd"/>
      <w:r w:rsidRPr="00CC5FE0">
        <w:t xml:space="preserve"> </w:t>
      </w:r>
      <w:proofErr w:type="spellStart"/>
      <w:r w:rsidRPr="00CC5FE0">
        <w:t>Dellaria</w:t>
      </w:r>
      <w:proofErr w:type="spellEnd"/>
    </w:p>
    <w:p w:rsidR="00CC5FE0" w:rsidRDefault="00CC5FE0" w:rsidP="00CC5FE0">
      <w:pPr>
        <w:spacing w:after="0" w:line="240" w:lineRule="auto"/>
      </w:pPr>
    </w:p>
    <w:p w:rsidR="00CC5FE0" w:rsidRDefault="00CC5FE0" w:rsidP="00CC5FE0">
      <w:pPr>
        <w:spacing w:after="0" w:line="240" w:lineRule="auto"/>
      </w:pPr>
      <w:r>
        <w:t>References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9C07D3">
        <w:rPr>
          <w:rFonts w:cstheme="minorHAnsi"/>
          <w:sz w:val="24"/>
          <w:szCs w:val="24"/>
        </w:rPr>
        <w:fldChar w:fldCharType="begin" w:fldLock="1"/>
      </w:r>
      <w:r w:rsidRPr="009C07D3">
        <w:rPr>
          <w:rFonts w:cstheme="minorHAnsi"/>
          <w:sz w:val="24"/>
          <w:szCs w:val="24"/>
        </w:rPr>
        <w:instrText xml:space="preserve">ADDIN Mendeley Bibliography CSL_BIBLIOGRAPHY </w:instrText>
      </w:r>
      <w:r w:rsidRPr="009C07D3">
        <w:rPr>
          <w:rFonts w:cstheme="minorHAnsi"/>
          <w:sz w:val="24"/>
          <w:szCs w:val="24"/>
        </w:rPr>
        <w:fldChar w:fldCharType="separate"/>
      </w:r>
      <w:r w:rsidRPr="00644D33">
        <w:rPr>
          <w:rFonts w:ascii="Calibri" w:hAnsi="Calibri" w:cs="Calibri"/>
          <w:noProof/>
          <w:sz w:val="24"/>
          <w:szCs w:val="24"/>
        </w:rPr>
        <w:t xml:space="preserve">Ahmed, R Umaima. 2016. “Menstrual Matters: Comics Teaching Young Women about Periods.” </w:t>
      </w:r>
      <w:r w:rsidRPr="00644D33">
        <w:rPr>
          <w:rFonts w:ascii="Calibri" w:hAnsi="Calibri" w:cs="Calibri"/>
          <w:i/>
          <w:iCs/>
          <w:noProof/>
          <w:sz w:val="24"/>
          <w:szCs w:val="24"/>
        </w:rPr>
        <w:t>The Nation</w:t>
      </w:r>
      <w:r w:rsidRPr="00644D33">
        <w:rPr>
          <w:rFonts w:ascii="Calibri" w:hAnsi="Calibri" w:cs="Calibri"/>
          <w:noProof/>
          <w:sz w:val="24"/>
          <w:szCs w:val="24"/>
        </w:rPr>
        <w:t>, October 12, 2016. https://www.nation.com.pk/12-Oct-2016/using-comics-to-teach-young-women-about-menstruation.</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Aiello, Allison E., and Elaine L. Larson. 2001. “An Analysis of 6 Decades of Hygiene_related Advertising: 1940-2000.” </w:t>
      </w:r>
      <w:r w:rsidRPr="00644D33">
        <w:rPr>
          <w:rFonts w:ascii="Calibri" w:hAnsi="Calibri" w:cs="Calibri"/>
          <w:i/>
          <w:iCs/>
          <w:noProof/>
          <w:sz w:val="24"/>
          <w:szCs w:val="24"/>
        </w:rPr>
        <w:t>American Journal of Infection Control</w:t>
      </w:r>
      <w:r w:rsidRPr="00644D33">
        <w:rPr>
          <w:rFonts w:ascii="Calibri" w:hAnsi="Calibri" w:cs="Calibri"/>
          <w:noProof/>
          <w:sz w:val="24"/>
          <w:szCs w:val="24"/>
        </w:rPr>
        <w:t xml:space="preserve"> 29 (6): 383–88.</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Albornoz, Denisse. 2015. “From Taboo to Beautiful. Menstrupedia.” In </w:t>
      </w:r>
      <w:r w:rsidRPr="00644D33">
        <w:rPr>
          <w:rFonts w:ascii="Calibri" w:hAnsi="Calibri" w:cs="Calibri"/>
          <w:i/>
          <w:iCs/>
          <w:noProof/>
          <w:sz w:val="24"/>
          <w:szCs w:val="24"/>
        </w:rPr>
        <w:t>Digital Activism in Asia Reader</w:t>
      </w:r>
      <w:r w:rsidRPr="00644D33">
        <w:rPr>
          <w:rFonts w:ascii="Calibri" w:hAnsi="Calibri" w:cs="Calibri"/>
          <w:noProof/>
          <w:sz w:val="24"/>
          <w:szCs w:val="24"/>
        </w:rPr>
        <w:t>, edited by Nishant Shah, Puthiya Purayil Sneha, and Sumandro Chattapadhyay, 15–30. Lüneburg: Meson Press. https://meson.press/wp-content/uploads/2015/08/9783957960511-Digital-Activism-Asia-Reader.pdf.</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lastRenderedPageBreak/>
        <w:t xml:space="preserve">Anderson, Sarah. 2017. </w:t>
      </w:r>
      <w:r w:rsidRPr="00644D33">
        <w:rPr>
          <w:rFonts w:ascii="Calibri" w:hAnsi="Calibri" w:cs="Calibri"/>
          <w:i/>
          <w:iCs/>
          <w:noProof/>
          <w:sz w:val="24"/>
          <w:szCs w:val="24"/>
        </w:rPr>
        <w:t>Big Mushy, Happy Lump</w:t>
      </w:r>
      <w:r w:rsidRPr="00644D33">
        <w:rPr>
          <w:rFonts w:ascii="Calibri" w:hAnsi="Calibri" w:cs="Calibri"/>
          <w:noProof/>
          <w:sz w:val="24"/>
          <w:szCs w:val="24"/>
        </w:rPr>
        <w:t>. New York: Andrews McMeel Publishing.</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Anon. 2021. “NEARLY TWO MILLION GIRLS IN THE UK MISS SCHOOL BECAUSE OF THEIR PERIOD.” Plan International. 2021. https://plan-uk.org/media-centre/nearly-two-million-girls-in-the-uk-miss-school-because-of-their-period.</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Artha, Camely. 2017. “UNICEF’s Comic Book Educates School Boys and Girls on Menstruation.” Magdalene. 2017. https://magdalene.co/story/unicefs-comic-book-educates-school-boys-and-girls-on-menstruation.</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Bakhtin, M. M. 1968. </w:t>
      </w:r>
      <w:r w:rsidRPr="00644D33">
        <w:rPr>
          <w:rFonts w:ascii="Calibri" w:hAnsi="Calibri" w:cs="Calibri"/>
          <w:i/>
          <w:iCs/>
          <w:noProof/>
          <w:sz w:val="24"/>
          <w:szCs w:val="24"/>
        </w:rPr>
        <w:t>Rabelais and His World</w:t>
      </w:r>
      <w:r w:rsidRPr="00644D33">
        <w:rPr>
          <w:rFonts w:ascii="Calibri" w:hAnsi="Calibri" w:cs="Calibri"/>
          <w:noProof/>
          <w:sz w:val="24"/>
          <w:szCs w:val="24"/>
        </w:rPr>
        <w:t>. Cambridge, Mass.: M.I.T. Press.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Bhartiya, Aru. 2013. “Menstruation, Religion and Society.” </w:t>
      </w:r>
      <w:r w:rsidRPr="00644D33">
        <w:rPr>
          <w:rFonts w:ascii="Calibri" w:hAnsi="Calibri" w:cs="Calibri"/>
          <w:i/>
          <w:iCs/>
          <w:noProof/>
          <w:sz w:val="24"/>
          <w:szCs w:val="24"/>
        </w:rPr>
        <w:t>International Journal of Social Science and Humanity</w:t>
      </w:r>
      <w:r w:rsidRPr="00644D33">
        <w:rPr>
          <w:rFonts w:ascii="Calibri" w:hAnsi="Calibri" w:cs="Calibri"/>
          <w:noProof/>
          <w:sz w:val="24"/>
          <w:szCs w:val="24"/>
        </w:rPr>
        <w:t xml:space="preserve"> 3 (6): 523–27. http://www.ijssh.org/papers/296-%0A-B00016.pdf.</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Blume, Judy. 1970. </w:t>
      </w:r>
      <w:r w:rsidRPr="00644D33">
        <w:rPr>
          <w:rFonts w:ascii="Calibri" w:hAnsi="Calibri" w:cs="Calibri"/>
          <w:i/>
          <w:iCs/>
          <w:noProof/>
          <w:sz w:val="24"/>
          <w:szCs w:val="24"/>
        </w:rPr>
        <w:t>Are You There God? It’s Me, Margaret</w:t>
      </w:r>
      <w:r w:rsidRPr="00644D33">
        <w:rPr>
          <w:rFonts w:ascii="Calibri" w:hAnsi="Calibri" w:cs="Calibri"/>
          <w:noProof/>
          <w:sz w:val="24"/>
          <w:szCs w:val="24"/>
        </w:rPr>
        <w:t>. Bradbury Press.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Bobel, Chris. 2010. </w:t>
      </w:r>
      <w:r w:rsidRPr="00644D33">
        <w:rPr>
          <w:rFonts w:ascii="Calibri" w:hAnsi="Calibri" w:cs="Calibri"/>
          <w:i/>
          <w:iCs/>
          <w:noProof/>
          <w:sz w:val="24"/>
          <w:szCs w:val="24"/>
        </w:rPr>
        <w:t>New Blood: Third-Wave Feminism and the Politics of Menstruation</w:t>
      </w:r>
      <w:r w:rsidRPr="00644D33">
        <w:rPr>
          <w:rFonts w:ascii="Calibri" w:hAnsi="Calibri" w:cs="Calibri"/>
          <w:noProof/>
          <w:sz w:val="24"/>
          <w:szCs w:val="24"/>
        </w:rPr>
        <w:t>. New Brunswick N.J.: Rutgers University Press.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Clarke, Emilia, Marguerite Bennett, and Leila Leiz. 2020. </w:t>
      </w:r>
      <w:r w:rsidRPr="00644D33">
        <w:rPr>
          <w:rFonts w:ascii="Calibri" w:hAnsi="Calibri" w:cs="Calibri"/>
          <w:i/>
          <w:iCs/>
          <w:noProof/>
          <w:sz w:val="24"/>
          <w:szCs w:val="24"/>
        </w:rPr>
        <w:t>MOM (Mother of Madness)</w:t>
      </w:r>
      <w:r w:rsidRPr="00644D33">
        <w:rPr>
          <w:rFonts w:ascii="Calibri" w:hAnsi="Calibri" w:cs="Calibri"/>
          <w:noProof/>
          <w:sz w:val="24"/>
          <w:szCs w:val="24"/>
        </w:rPr>
        <w:t>. New York: Image Comics.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Delaney, Janice, Mary Jane Lupton, and Emily Toth. 1988. </w:t>
      </w:r>
      <w:r w:rsidRPr="00644D33">
        <w:rPr>
          <w:rFonts w:ascii="Calibri" w:hAnsi="Calibri" w:cs="Calibri"/>
          <w:i/>
          <w:iCs/>
          <w:noProof/>
          <w:sz w:val="24"/>
          <w:szCs w:val="24"/>
        </w:rPr>
        <w:t>The Curse: A Cultural History of Menstruation</w:t>
      </w:r>
      <w:r w:rsidRPr="00644D33">
        <w:rPr>
          <w:rFonts w:ascii="Calibri" w:hAnsi="Calibri" w:cs="Calibri"/>
          <w:noProof/>
          <w:sz w:val="24"/>
          <w:szCs w:val="24"/>
        </w:rPr>
        <w:t>. Urbana and Chicago: University of Illinois Press.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Doucet, Julie. 1993. </w:t>
      </w:r>
      <w:r w:rsidRPr="00644D33">
        <w:rPr>
          <w:rFonts w:ascii="Calibri" w:hAnsi="Calibri" w:cs="Calibri"/>
          <w:i/>
          <w:iCs/>
          <w:noProof/>
          <w:sz w:val="24"/>
          <w:szCs w:val="24"/>
        </w:rPr>
        <w:t>Heavy Flow</w:t>
      </w:r>
      <w:r w:rsidRPr="00644D33">
        <w:rPr>
          <w:rFonts w:ascii="Calibri" w:hAnsi="Calibri" w:cs="Calibri"/>
          <w:noProof/>
          <w:sz w:val="24"/>
          <w:szCs w:val="24"/>
        </w:rPr>
        <w:t>.</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Frangos, Mike Classon. 2020. “Liv Strömquist’s Fruit of Knowledge and the Gender of Comics.” </w:t>
      </w:r>
      <w:r w:rsidRPr="00644D33">
        <w:rPr>
          <w:rFonts w:ascii="Calibri" w:hAnsi="Calibri" w:cs="Calibri"/>
          <w:i/>
          <w:iCs/>
          <w:noProof/>
          <w:sz w:val="24"/>
          <w:szCs w:val="24"/>
        </w:rPr>
        <w:t>European Comic Art</w:t>
      </w:r>
      <w:r w:rsidRPr="00644D33">
        <w:rPr>
          <w:rFonts w:ascii="Calibri" w:hAnsi="Calibri" w:cs="Calibri"/>
          <w:noProof/>
          <w:sz w:val="24"/>
          <w:szCs w:val="24"/>
        </w:rPr>
        <w:t xml:space="preserve"> 13 (1): 45–69.</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Frank, S.E., and Jac Dellaria. 2020. “Navigating the Binary: A Visual Narrative of Trans and Genderqueer Menstruation.” In </w:t>
      </w:r>
      <w:r w:rsidRPr="00644D33">
        <w:rPr>
          <w:rFonts w:ascii="Calibri" w:hAnsi="Calibri" w:cs="Calibri"/>
          <w:i/>
          <w:iCs/>
          <w:noProof/>
          <w:sz w:val="24"/>
          <w:szCs w:val="24"/>
        </w:rPr>
        <w:t>The Palgrave Handbook of Critical Menstrual Studies</w:t>
      </w:r>
      <w:r w:rsidRPr="00644D33">
        <w:rPr>
          <w:rFonts w:ascii="Calibri" w:hAnsi="Calibri" w:cs="Calibri"/>
          <w:noProof/>
          <w:sz w:val="24"/>
          <w:szCs w:val="24"/>
        </w:rPr>
        <w:t>, edited by Chris Bobel, Breanne Fahs, Katie Ann Hasson, Elizabeth Kissling, Tomi-Ann Roberts, and Inga Winkler, 69–76. London ; New York.</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Goffman, Erving. 1963. </w:t>
      </w:r>
      <w:r w:rsidRPr="00644D33">
        <w:rPr>
          <w:rFonts w:ascii="Calibri" w:hAnsi="Calibri" w:cs="Calibri"/>
          <w:i/>
          <w:iCs/>
          <w:noProof/>
          <w:sz w:val="24"/>
          <w:szCs w:val="24"/>
        </w:rPr>
        <w:t>Stigma: Notes on the Management of Spoiled Identity</w:t>
      </w:r>
      <w:r w:rsidRPr="00644D33">
        <w:rPr>
          <w:rFonts w:ascii="Calibri" w:hAnsi="Calibri" w:cs="Calibri"/>
          <w:noProof/>
          <w:sz w:val="24"/>
          <w:szCs w:val="24"/>
        </w:rPr>
        <w:t>. Englewood Cliffs NJ: Prentice-Hall.</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Gottlieb, Alma. 2020. “Menstrual Taboos: Moving Beyond the Curse.” In </w:t>
      </w:r>
      <w:r w:rsidRPr="00644D33">
        <w:rPr>
          <w:rFonts w:ascii="Calibri" w:hAnsi="Calibri" w:cs="Calibri"/>
          <w:i/>
          <w:iCs/>
          <w:noProof/>
          <w:sz w:val="24"/>
          <w:szCs w:val="24"/>
        </w:rPr>
        <w:t>The Palgrave Handbook of Critical Menstrual Studies</w:t>
      </w:r>
      <w:r w:rsidRPr="00644D33">
        <w:rPr>
          <w:rFonts w:ascii="Calibri" w:hAnsi="Calibri" w:cs="Calibri"/>
          <w:noProof/>
          <w:sz w:val="24"/>
          <w:szCs w:val="24"/>
        </w:rPr>
        <w:t>, edited by Chris Bobel, Breanne Fahs, Katie Ann Hasson, Elizabeth Kissling, Tomi-Ann Roberts, and Inga Winkler, 143–62. London ; New York: Palgrave Macmillan.</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Haynes, Suyin. 2016. “How an Indian Comic Book Is Teaching Girls About Their Periods.” Time. December 12, 2016. https://time.com/4590678/menstrupedia-aditi-gupta-taboo-india/.</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Knight, Paula. 2017. </w:t>
      </w:r>
      <w:r w:rsidRPr="00644D33">
        <w:rPr>
          <w:rFonts w:ascii="Calibri" w:hAnsi="Calibri" w:cs="Calibri"/>
          <w:i/>
          <w:iCs/>
          <w:noProof/>
          <w:sz w:val="24"/>
          <w:szCs w:val="24"/>
        </w:rPr>
        <w:t>The Facts of Life</w:t>
      </w:r>
      <w:r w:rsidRPr="00644D33">
        <w:rPr>
          <w:rFonts w:ascii="Calibri" w:hAnsi="Calibri" w:cs="Calibri"/>
          <w:noProof/>
          <w:sz w:val="24"/>
          <w:szCs w:val="24"/>
        </w:rPr>
        <w:t>. Brighton and Hove: Myriad Editions.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Køhlert, Frederik Byrn. 2012. “Female Grotesques: Carnivalesque Subversion in the Comics of Julie Doucet.” </w:t>
      </w:r>
      <w:r w:rsidRPr="00644D33">
        <w:rPr>
          <w:rFonts w:ascii="Calibri" w:hAnsi="Calibri" w:cs="Calibri"/>
          <w:i/>
          <w:iCs/>
          <w:noProof/>
          <w:sz w:val="24"/>
          <w:szCs w:val="24"/>
        </w:rPr>
        <w:t>Journal of Graphic Novels and Comics</w:t>
      </w:r>
      <w:r w:rsidRPr="00644D33">
        <w:rPr>
          <w:rFonts w:ascii="Calibri" w:hAnsi="Calibri" w:cs="Calibri"/>
          <w:noProof/>
          <w:sz w:val="24"/>
          <w:szCs w:val="24"/>
        </w:rPr>
        <w:t xml:space="preserve"> 3 (1): 19–38.</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Kristeva, Julia, and Leon S Roudiez. 1982. </w:t>
      </w:r>
      <w:r w:rsidRPr="00644D33">
        <w:rPr>
          <w:rFonts w:ascii="Calibri" w:hAnsi="Calibri" w:cs="Calibri"/>
          <w:i/>
          <w:iCs/>
          <w:noProof/>
          <w:sz w:val="24"/>
          <w:szCs w:val="24"/>
        </w:rPr>
        <w:t>Powers of Horror: An Essay in Abjection</w:t>
      </w:r>
      <w:r w:rsidRPr="00644D33">
        <w:rPr>
          <w:rFonts w:ascii="Calibri" w:hAnsi="Calibri" w:cs="Calibri"/>
          <w:noProof/>
          <w:sz w:val="24"/>
          <w:szCs w:val="24"/>
        </w:rPr>
        <w:t xml:space="preserve">. New York: </w:t>
      </w:r>
      <w:r w:rsidRPr="00644D33">
        <w:rPr>
          <w:rFonts w:ascii="Calibri" w:hAnsi="Calibri" w:cs="Calibri"/>
          <w:noProof/>
          <w:sz w:val="24"/>
          <w:szCs w:val="24"/>
        </w:rPr>
        <w:lastRenderedPageBreak/>
        <w:t>Colombia University Press.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Kritz, Fran. 2016. “In Indonesia, a Comic Book About Menstruation -- For Boys.” </w:t>
      </w:r>
      <w:r w:rsidRPr="00644D33">
        <w:rPr>
          <w:rFonts w:ascii="Calibri" w:hAnsi="Calibri" w:cs="Calibri"/>
          <w:i/>
          <w:iCs/>
          <w:noProof/>
          <w:sz w:val="24"/>
          <w:szCs w:val="24"/>
        </w:rPr>
        <w:t>KQED</w:t>
      </w:r>
      <w:r w:rsidRPr="00644D33">
        <w:rPr>
          <w:rFonts w:ascii="Calibri" w:hAnsi="Calibri" w:cs="Calibri"/>
          <w:noProof/>
          <w:sz w:val="24"/>
          <w:szCs w:val="24"/>
        </w:rPr>
        <w:t>, March 16, 2016. https://www.kqed.org/futureofyou/354509/in-indonesia-a-comic-book-about-menstruation-for-boys.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Persdotter, Josefin. 2020. “Introducing Menstrunormativity: Toward a Complex Understanding of ‘Menstrual Monsterings.’” In </w:t>
      </w:r>
      <w:r w:rsidRPr="00644D33">
        <w:rPr>
          <w:rFonts w:ascii="Calibri" w:hAnsi="Calibri" w:cs="Calibri"/>
          <w:i/>
          <w:iCs/>
          <w:noProof/>
          <w:sz w:val="24"/>
          <w:szCs w:val="24"/>
        </w:rPr>
        <w:t>Palgrave Handbook of Critical Menstruation Studies</w:t>
      </w:r>
      <w:r w:rsidRPr="00644D33">
        <w:rPr>
          <w:rFonts w:ascii="Calibri" w:hAnsi="Calibri" w:cs="Calibri"/>
          <w:noProof/>
          <w:sz w:val="24"/>
          <w:szCs w:val="24"/>
        </w:rPr>
        <w:t>, edited by Chris Bobel, Inga T. Winkler, Breanne Fahs, Katie Ann Hasson, Elizabeth Arveda Kissling, and Tomi-Ann Roberts, 357–73. London: Palgrave.</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Røstvik, Camilla Mørk. 2021. “Menstrual Art: Why Do People Still See Red?” Sciencenorway.No. 2021. https://sciencenorway.no/art-gender-research-researchers-zone/menstrual-art-why-do-people-still-see-red/1835909.</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Strömquist, Liv. 2018. </w:t>
      </w:r>
      <w:r w:rsidRPr="00644D33">
        <w:rPr>
          <w:rFonts w:ascii="Calibri" w:hAnsi="Calibri" w:cs="Calibri"/>
          <w:i/>
          <w:iCs/>
          <w:noProof/>
          <w:sz w:val="24"/>
          <w:szCs w:val="24"/>
        </w:rPr>
        <w:t>The Fruit of Knowledge: The Vulva vs The Patriarchy</w:t>
      </w:r>
      <w:r w:rsidRPr="00644D33">
        <w:rPr>
          <w:rFonts w:ascii="Calibri" w:hAnsi="Calibri" w:cs="Calibri"/>
          <w:noProof/>
          <w:sz w:val="24"/>
          <w:szCs w:val="24"/>
        </w:rPr>
        <w:t>. Seattle, Washington: Fantographic Books.</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Stubbs, Margaret L. 2008. “Cultural Perceptions and Practices around Menarche and Adolescent Menstruation in the United States.” </w:t>
      </w:r>
      <w:r w:rsidRPr="00644D33">
        <w:rPr>
          <w:rFonts w:ascii="Calibri" w:hAnsi="Calibri" w:cs="Calibri"/>
          <w:i/>
          <w:iCs/>
          <w:noProof/>
          <w:sz w:val="24"/>
          <w:szCs w:val="24"/>
        </w:rPr>
        <w:t>Annals of the New York Academy of Sciences</w:t>
      </w:r>
      <w:r w:rsidRPr="00644D33">
        <w:rPr>
          <w:rFonts w:ascii="Calibri" w:hAnsi="Calibri" w:cs="Calibri"/>
          <w:noProof/>
          <w:sz w:val="24"/>
          <w:szCs w:val="24"/>
        </w:rPr>
        <w:t>, no. 1135: 58–66.</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Stubbs, Margaret L, and Evelina W. Sterling. 2020. “Learning About What’s ‘Down There’: Body Image Below the Belt and Menstrual Education.” In </w:t>
      </w:r>
      <w:r w:rsidRPr="00644D33">
        <w:rPr>
          <w:rFonts w:ascii="Calibri" w:hAnsi="Calibri" w:cs="Calibri"/>
          <w:i/>
          <w:iCs/>
          <w:noProof/>
          <w:sz w:val="24"/>
          <w:szCs w:val="24"/>
        </w:rPr>
        <w:t>Palgrave Handbook of Critical Menstruation Studies</w:t>
      </w:r>
      <w:r w:rsidRPr="00644D33">
        <w:rPr>
          <w:rFonts w:ascii="Calibri" w:hAnsi="Calibri" w:cs="Calibri"/>
          <w:noProof/>
          <w:sz w:val="24"/>
          <w:szCs w:val="24"/>
        </w:rPr>
        <w:t>, edited by Chris Bobel, Inga T. Winkler, Breanne Fahs, Elizabeth Arveda Kissling, Katie Ann Hasson, and Tomi-Ann Roberts, 232–52. London: Palgrave.</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Venkatesan, Sathyaraj, and Anu Mary Pater. 2020. “Visualizing Shame: Menstruation, Graphic Medicine, and the Discourse of Lycanthropy.” </w:t>
      </w:r>
      <w:r w:rsidRPr="00644D33">
        <w:rPr>
          <w:rFonts w:ascii="Calibri" w:hAnsi="Calibri" w:cs="Calibri"/>
          <w:i/>
          <w:iCs/>
          <w:noProof/>
          <w:sz w:val="24"/>
          <w:szCs w:val="24"/>
        </w:rPr>
        <w:t>Rupkatha Journal on Interdisciplinary Studies in Humanities</w:t>
      </w:r>
      <w:r w:rsidRPr="00644D33">
        <w:rPr>
          <w:rFonts w:ascii="Calibri" w:hAnsi="Calibri" w:cs="Calibri"/>
          <w:noProof/>
          <w:sz w:val="24"/>
          <w:szCs w:val="24"/>
        </w:rPr>
        <w:t xml:space="preserve"> 12 (1): 1–8.</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 xml:space="preserve">Whisant, Lynn, Leanard S. Zegans, and Elizabeth Brett. 1975. “Implicit Messages Concerning Menstruation in Commercial Educational Materials Prepared for Young Adolescent Girls.” </w:t>
      </w:r>
      <w:r w:rsidRPr="00644D33">
        <w:rPr>
          <w:rFonts w:ascii="Calibri" w:hAnsi="Calibri" w:cs="Calibri"/>
          <w:i/>
          <w:iCs/>
          <w:noProof/>
          <w:sz w:val="24"/>
          <w:szCs w:val="24"/>
        </w:rPr>
        <w:t>American Journal of Psychiatry</w:t>
      </w:r>
      <w:r w:rsidRPr="00644D33">
        <w:rPr>
          <w:rFonts w:ascii="Calibri" w:hAnsi="Calibri" w:cs="Calibri"/>
          <w:noProof/>
          <w:sz w:val="24"/>
          <w:szCs w:val="24"/>
        </w:rPr>
        <w:t xml:space="preserve"> 132 (8): 815–20.</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szCs w:val="24"/>
        </w:rPr>
      </w:pPr>
      <w:r w:rsidRPr="00644D33">
        <w:rPr>
          <w:rFonts w:ascii="Calibri" w:hAnsi="Calibri" w:cs="Calibri"/>
          <w:noProof/>
          <w:sz w:val="24"/>
          <w:szCs w:val="24"/>
        </w:rPr>
        <w:t>Williams, Lily, and Karen Schneemann. 2015. “The Mean Magenta.” The Mean Magenta. 2015. https://themeanmagenta.com/.</w:t>
      </w:r>
    </w:p>
    <w:p w:rsidR="00CC5FE0" w:rsidRPr="00644D33" w:rsidRDefault="00CC5FE0" w:rsidP="00CC5FE0">
      <w:pPr>
        <w:widowControl w:val="0"/>
        <w:autoSpaceDE w:val="0"/>
        <w:autoSpaceDN w:val="0"/>
        <w:adjustRightInd w:val="0"/>
        <w:spacing w:line="240" w:lineRule="auto"/>
        <w:ind w:left="480" w:hanging="480"/>
        <w:rPr>
          <w:rFonts w:ascii="Calibri" w:hAnsi="Calibri" w:cs="Calibri"/>
          <w:noProof/>
          <w:sz w:val="24"/>
        </w:rPr>
      </w:pPr>
      <w:r w:rsidRPr="00644D33">
        <w:rPr>
          <w:rFonts w:ascii="Calibri" w:hAnsi="Calibri" w:cs="Calibri"/>
          <w:noProof/>
          <w:sz w:val="24"/>
          <w:szCs w:val="24"/>
        </w:rPr>
        <w:t xml:space="preserve">———. 2020. </w:t>
      </w:r>
      <w:r w:rsidRPr="00644D33">
        <w:rPr>
          <w:rFonts w:ascii="Calibri" w:hAnsi="Calibri" w:cs="Calibri"/>
          <w:i/>
          <w:iCs/>
          <w:noProof/>
          <w:sz w:val="24"/>
          <w:szCs w:val="24"/>
        </w:rPr>
        <w:t>Go with the Flow</w:t>
      </w:r>
      <w:r w:rsidRPr="00644D33">
        <w:rPr>
          <w:rFonts w:ascii="Calibri" w:hAnsi="Calibri" w:cs="Calibri"/>
          <w:noProof/>
          <w:sz w:val="24"/>
          <w:szCs w:val="24"/>
        </w:rPr>
        <w:t>. California, Colorado, Oxford: Second First.</w:t>
      </w:r>
    </w:p>
    <w:p w:rsidR="00CC5FE0" w:rsidRDefault="00CC5FE0" w:rsidP="00CC5FE0">
      <w:pPr>
        <w:spacing w:after="0" w:line="240" w:lineRule="auto"/>
      </w:pPr>
      <w:r w:rsidRPr="009C07D3">
        <w:rPr>
          <w:rFonts w:cstheme="minorHAnsi"/>
          <w:sz w:val="24"/>
          <w:szCs w:val="24"/>
        </w:rPr>
        <w:fldChar w:fldCharType="end"/>
      </w:r>
    </w:p>
    <w:sectPr w:rsidR="00CC5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3A58"/>
    <w:multiLevelType w:val="hybridMultilevel"/>
    <w:tmpl w:val="2310A28A"/>
    <w:lvl w:ilvl="0" w:tplc="3294B63E">
      <w:start w:val="1"/>
      <w:numFmt w:val="bullet"/>
      <w:lvlText w:val="•"/>
      <w:lvlJc w:val="left"/>
      <w:pPr>
        <w:tabs>
          <w:tab w:val="num" w:pos="720"/>
        </w:tabs>
        <w:ind w:left="720" w:hanging="360"/>
      </w:pPr>
      <w:rPr>
        <w:rFonts w:ascii="Arial" w:hAnsi="Arial" w:hint="default"/>
      </w:rPr>
    </w:lvl>
    <w:lvl w:ilvl="1" w:tplc="F9525512" w:tentative="1">
      <w:start w:val="1"/>
      <w:numFmt w:val="bullet"/>
      <w:lvlText w:val="•"/>
      <w:lvlJc w:val="left"/>
      <w:pPr>
        <w:tabs>
          <w:tab w:val="num" w:pos="1440"/>
        </w:tabs>
        <w:ind w:left="1440" w:hanging="360"/>
      </w:pPr>
      <w:rPr>
        <w:rFonts w:ascii="Arial" w:hAnsi="Arial" w:hint="default"/>
      </w:rPr>
    </w:lvl>
    <w:lvl w:ilvl="2" w:tplc="1F88F39E" w:tentative="1">
      <w:start w:val="1"/>
      <w:numFmt w:val="bullet"/>
      <w:lvlText w:val="•"/>
      <w:lvlJc w:val="left"/>
      <w:pPr>
        <w:tabs>
          <w:tab w:val="num" w:pos="2160"/>
        </w:tabs>
        <w:ind w:left="2160" w:hanging="360"/>
      </w:pPr>
      <w:rPr>
        <w:rFonts w:ascii="Arial" w:hAnsi="Arial" w:hint="default"/>
      </w:rPr>
    </w:lvl>
    <w:lvl w:ilvl="3" w:tplc="73CCC7FA" w:tentative="1">
      <w:start w:val="1"/>
      <w:numFmt w:val="bullet"/>
      <w:lvlText w:val="•"/>
      <w:lvlJc w:val="left"/>
      <w:pPr>
        <w:tabs>
          <w:tab w:val="num" w:pos="2880"/>
        </w:tabs>
        <w:ind w:left="2880" w:hanging="360"/>
      </w:pPr>
      <w:rPr>
        <w:rFonts w:ascii="Arial" w:hAnsi="Arial" w:hint="default"/>
      </w:rPr>
    </w:lvl>
    <w:lvl w:ilvl="4" w:tplc="5B80C370" w:tentative="1">
      <w:start w:val="1"/>
      <w:numFmt w:val="bullet"/>
      <w:lvlText w:val="•"/>
      <w:lvlJc w:val="left"/>
      <w:pPr>
        <w:tabs>
          <w:tab w:val="num" w:pos="3600"/>
        </w:tabs>
        <w:ind w:left="3600" w:hanging="360"/>
      </w:pPr>
      <w:rPr>
        <w:rFonts w:ascii="Arial" w:hAnsi="Arial" w:hint="default"/>
      </w:rPr>
    </w:lvl>
    <w:lvl w:ilvl="5" w:tplc="54CA63F6" w:tentative="1">
      <w:start w:val="1"/>
      <w:numFmt w:val="bullet"/>
      <w:lvlText w:val="•"/>
      <w:lvlJc w:val="left"/>
      <w:pPr>
        <w:tabs>
          <w:tab w:val="num" w:pos="4320"/>
        </w:tabs>
        <w:ind w:left="4320" w:hanging="360"/>
      </w:pPr>
      <w:rPr>
        <w:rFonts w:ascii="Arial" w:hAnsi="Arial" w:hint="default"/>
      </w:rPr>
    </w:lvl>
    <w:lvl w:ilvl="6" w:tplc="3FFE59F0" w:tentative="1">
      <w:start w:val="1"/>
      <w:numFmt w:val="bullet"/>
      <w:lvlText w:val="•"/>
      <w:lvlJc w:val="left"/>
      <w:pPr>
        <w:tabs>
          <w:tab w:val="num" w:pos="5040"/>
        </w:tabs>
        <w:ind w:left="5040" w:hanging="360"/>
      </w:pPr>
      <w:rPr>
        <w:rFonts w:ascii="Arial" w:hAnsi="Arial" w:hint="default"/>
      </w:rPr>
    </w:lvl>
    <w:lvl w:ilvl="7" w:tplc="B06EDE82" w:tentative="1">
      <w:start w:val="1"/>
      <w:numFmt w:val="bullet"/>
      <w:lvlText w:val="•"/>
      <w:lvlJc w:val="left"/>
      <w:pPr>
        <w:tabs>
          <w:tab w:val="num" w:pos="5760"/>
        </w:tabs>
        <w:ind w:left="5760" w:hanging="360"/>
      </w:pPr>
      <w:rPr>
        <w:rFonts w:ascii="Arial" w:hAnsi="Arial" w:hint="default"/>
      </w:rPr>
    </w:lvl>
    <w:lvl w:ilvl="8" w:tplc="AF864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200227"/>
    <w:multiLevelType w:val="hybridMultilevel"/>
    <w:tmpl w:val="92682354"/>
    <w:lvl w:ilvl="0" w:tplc="A74ED346">
      <w:start w:val="1"/>
      <w:numFmt w:val="bullet"/>
      <w:lvlText w:val="•"/>
      <w:lvlJc w:val="left"/>
      <w:pPr>
        <w:tabs>
          <w:tab w:val="num" w:pos="720"/>
        </w:tabs>
        <w:ind w:left="720" w:hanging="360"/>
      </w:pPr>
      <w:rPr>
        <w:rFonts w:ascii="Arial" w:hAnsi="Arial" w:hint="default"/>
      </w:rPr>
    </w:lvl>
    <w:lvl w:ilvl="1" w:tplc="E37A5112">
      <w:start w:val="1"/>
      <w:numFmt w:val="bullet"/>
      <w:lvlText w:val="•"/>
      <w:lvlJc w:val="left"/>
      <w:pPr>
        <w:tabs>
          <w:tab w:val="num" w:pos="1440"/>
        </w:tabs>
        <w:ind w:left="1440" w:hanging="360"/>
      </w:pPr>
      <w:rPr>
        <w:rFonts w:ascii="Arial" w:hAnsi="Arial" w:hint="default"/>
      </w:rPr>
    </w:lvl>
    <w:lvl w:ilvl="2" w:tplc="6EE6DE9C">
      <w:numFmt w:val="bullet"/>
      <w:lvlText w:val="•"/>
      <w:lvlJc w:val="left"/>
      <w:pPr>
        <w:tabs>
          <w:tab w:val="num" w:pos="2160"/>
        </w:tabs>
        <w:ind w:left="2160" w:hanging="360"/>
      </w:pPr>
      <w:rPr>
        <w:rFonts w:ascii="Arial" w:hAnsi="Arial" w:hint="default"/>
      </w:rPr>
    </w:lvl>
    <w:lvl w:ilvl="3" w:tplc="BADE82F0">
      <w:numFmt w:val="bullet"/>
      <w:lvlText w:val="•"/>
      <w:lvlJc w:val="left"/>
      <w:pPr>
        <w:tabs>
          <w:tab w:val="num" w:pos="2880"/>
        </w:tabs>
        <w:ind w:left="2880" w:hanging="360"/>
      </w:pPr>
      <w:rPr>
        <w:rFonts w:ascii="Arial" w:hAnsi="Arial" w:hint="default"/>
      </w:rPr>
    </w:lvl>
    <w:lvl w:ilvl="4" w:tplc="98628932" w:tentative="1">
      <w:start w:val="1"/>
      <w:numFmt w:val="bullet"/>
      <w:lvlText w:val="•"/>
      <w:lvlJc w:val="left"/>
      <w:pPr>
        <w:tabs>
          <w:tab w:val="num" w:pos="3600"/>
        </w:tabs>
        <w:ind w:left="3600" w:hanging="360"/>
      </w:pPr>
      <w:rPr>
        <w:rFonts w:ascii="Arial" w:hAnsi="Arial" w:hint="default"/>
      </w:rPr>
    </w:lvl>
    <w:lvl w:ilvl="5" w:tplc="E5D261E6" w:tentative="1">
      <w:start w:val="1"/>
      <w:numFmt w:val="bullet"/>
      <w:lvlText w:val="•"/>
      <w:lvlJc w:val="left"/>
      <w:pPr>
        <w:tabs>
          <w:tab w:val="num" w:pos="4320"/>
        </w:tabs>
        <w:ind w:left="4320" w:hanging="360"/>
      </w:pPr>
      <w:rPr>
        <w:rFonts w:ascii="Arial" w:hAnsi="Arial" w:hint="default"/>
      </w:rPr>
    </w:lvl>
    <w:lvl w:ilvl="6" w:tplc="3ED0451E" w:tentative="1">
      <w:start w:val="1"/>
      <w:numFmt w:val="bullet"/>
      <w:lvlText w:val="•"/>
      <w:lvlJc w:val="left"/>
      <w:pPr>
        <w:tabs>
          <w:tab w:val="num" w:pos="5040"/>
        </w:tabs>
        <w:ind w:left="5040" w:hanging="360"/>
      </w:pPr>
      <w:rPr>
        <w:rFonts w:ascii="Arial" w:hAnsi="Arial" w:hint="default"/>
      </w:rPr>
    </w:lvl>
    <w:lvl w:ilvl="7" w:tplc="065E885A" w:tentative="1">
      <w:start w:val="1"/>
      <w:numFmt w:val="bullet"/>
      <w:lvlText w:val="•"/>
      <w:lvlJc w:val="left"/>
      <w:pPr>
        <w:tabs>
          <w:tab w:val="num" w:pos="5760"/>
        </w:tabs>
        <w:ind w:left="5760" w:hanging="360"/>
      </w:pPr>
      <w:rPr>
        <w:rFonts w:ascii="Arial" w:hAnsi="Arial" w:hint="default"/>
      </w:rPr>
    </w:lvl>
    <w:lvl w:ilvl="8" w:tplc="8012B8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380663"/>
    <w:multiLevelType w:val="hybridMultilevel"/>
    <w:tmpl w:val="7C0A0072"/>
    <w:lvl w:ilvl="0" w:tplc="79B8F82C">
      <w:start w:val="1"/>
      <w:numFmt w:val="bullet"/>
      <w:lvlText w:val="•"/>
      <w:lvlJc w:val="left"/>
      <w:pPr>
        <w:tabs>
          <w:tab w:val="num" w:pos="720"/>
        </w:tabs>
        <w:ind w:left="720" w:hanging="360"/>
      </w:pPr>
      <w:rPr>
        <w:rFonts w:ascii="Arial" w:hAnsi="Arial" w:hint="default"/>
      </w:rPr>
    </w:lvl>
    <w:lvl w:ilvl="1" w:tplc="3DAC40DE" w:tentative="1">
      <w:start w:val="1"/>
      <w:numFmt w:val="bullet"/>
      <w:lvlText w:val="•"/>
      <w:lvlJc w:val="left"/>
      <w:pPr>
        <w:tabs>
          <w:tab w:val="num" w:pos="1440"/>
        </w:tabs>
        <w:ind w:left="1440" w:hanging="360"/>
      </w:pPr>
      <w:rPr>
        <w:rFonts w:ascii="Arial" w:hAnsi="Arial" w:hint="default"/>
      </w:rPr>
    </w:lvl>
    <w:lvl w:ilvl="2" w:tplc="06CAE138" w:tentative="1">
      <w:start w:val="1"/>
      <w:numFmt w:val="bullet"/>
      <w:lvlText w:val="•"/>
      <w:lvlJc w:val="left"/>
      <w:pPr>
        <w:tabs>
          <w:tab w:val="num" w:pos="2160"/>
        </w:tabs>
        <w:ind w:left="2160" w:hanging="360"/>
      </w:pPr>
      <w:rPr>
        <w:rFonts w:ascii="Arial" w:hAnsi="Arial" w:hint="default"/>
      </w:rPr>
    </w:lvl>
    <w:lvl w:ilvl="3" w:tplc="E7044AF8" w:tentative="1">
      <w:start w:val="1"/>
      <w:numFmt w:val="bullet"/>
      <w:lvlText w:val="•"/>
      <w:lvlJc w:val="left"/>
      <w:pPr>
        <w:tabs>
          <w:tab w:val="num" w:pos="2880"/>
        </w:tabs>
        <w:ind w:left="2880" w:hanging="360"/>
      </w:pPr>
      <w:rPr>
        <w:rFonts w:ascii="Arial" w:hAnsi="Arial" w:hint="default"/>
      </w:rPr>
    </w:lvl>
    <w:lvl w:ilvl="4" w:tplc="985C8FDA" w:tentative="1">
      <w:start w:val="1"/>
      <w:numFmt w:val="bullet"/>
      <w:lvlText w:val="•"/>
      <w:lvlJc w:val="left"/>
      <w:pPr>
        <w:tabs>
          <w:tab w:val="num" w:pos="3600"/>
        </w:tabs>
        <w:ind w:left="3600" w:hanging="360"/>
      </w:pPr>
      <w:rPr>
        <w:rFonts w:ascii="Arial" w:hAnsi="Arial" w:hint="default"/>
      </w:rPr>
    </w:lvl>
    <w:lvl w:ilvl="5" w:tplc="0422C6F4" w:tentative="1">
      <w:start w:val="1"/>
      <w:numFmt w:val="bullet"/>
      <w:lvlText w:val="•"/>
      <w:lvlJc w:val="left"/>
      <w:pPr>
        <w:tabs>
          <w:tab w:val="num" w:pos="4320"/>
        </w:tabs>
        <w:ind w:left="4320" w:hanging="360"/>
      </w:pPr>
      <w:rPr>
        <w:rFonts w:ascii="Arial" w:hAnsi="Arial" w:hint="default"/>
      </w:rPr>
    </w:lvl>
    <w:lvl w:ilvl="6" w:tplc="00DE8294" w:tentative="1">
      <w:start w:val="1"/>
      <w:numFmt w:val="bullet"/>
      <w:lvlText w:val="•"/>
      <w:lvlJc w:val="left"/>
      <w:pPr>
        <w:tabs>
          <w:tab w:val="num" w:pos="5040"/>
        </w:tabs>
        <w:ind w:left="5040" w:hanging="360"/>
      </w:pPr>
      <w:rPr>
        <w:rFonts w:ascii="Arial" w:hAnsi="Arial" w:hint="default"/>
      </w:rPr>
    </w:lvl>
    <w:lvl w:ilvl="7" w:tplc="E5127E6C" w:tentative="1">
      <w:start w:val="1"/>
      <w:numFmt w:val="bullet"/>
      <w:lvlText w:val="•"/>
      <w:lvlJc w:val="left"/>
      <w:pPr>
        <w:tabs>
          <w:tab w:val="num" w:pos="5760"/>
        </w:tabs>
        <w:ind w:left="5760" w:hanging="360"/>
      </w:pPr>
      <w:rPr>
        <w:rFonts w:ascii="Arial" w:hAnsi="Arial" w:hint="default"/>
      </w:rPr>
    </w:lvl>
    <w:lvl w:ilvl="8" w:tplc="7B70EE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E0"/>
    <w:rsid w:val="00AE0B23"/>
    <w:rsid w:val="00CC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8E0D"/>
  <w15:chartTrackingRefBased/>
  <w15:docId w15:val="{0B6495BB-CA25-4513-BA63-EE9E7A57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F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677">
      <w:bodyDiv w:val="1"/>
      <w:marLeft w:val="0"/>
      <w:marRight w:val="0"/>
      <w:marTop w:val="0"/>
      <w:marBottom w:val="0"/>
      <w:divBdr>
        <w:top w:val="none" w:sz="0" w:space="0" w:color="auto"/>
        <w:left w:val="none" w:sz="0" w:space="0" w:color="auto"/>
        <w:bottom w:val="none" w:sz="0" w:space="0" w:color="auto"/>
        <w:right w:val="none" w:sz="0" w:space="0" w:color="auto"/>
      </w:divBdr>
      <w:divsChild>
        <w:div w:id="674772785">
          <w:marLeft w:val="0"/>
          <w:marRight w:val="0"/>
          <w:marTop w:val="100"/>
          <w:marBottom w:val="0"/>
          <w:divBdr>
            <w:top w:val="none" w:sz="0" w:space="0" w:color="auto"/>
            <w:left w:val="none" w:sz="0" w:space="0" w:color="auto"/>
            <w:bottom w:val="none" w:sz="0" w:space="0" w:color="auto"/>
            <w:right w:val="none" w:sz="0" w:space="0" w:color="auto"/>
          </w:divBdr>
        </w:div>
        <w:div w:id="1216963603">
          <w:marLeft w:val="1440"/>
          <w:marRight w:val="0"/>
          <w:marTop w:val="0"/>
          <w:marBottom w:val="0"/>
          <w:divBdr>
            <w:top w:val="none" w:sz="0" w:space="0" w:color="auto"/>
            <w:left w:val="none" w:sz="0" w:space="0" w:color="auto"/>
            <w:bottom w:val="none" w:sz="0" w:space="0" w:color="auto"/>
            <w:right w:val="none" w:sz="0" w:space="0" w:color="auto"/>
          </w:divBdr>
        </w:div>
        <w:div w:id="1590387323">
          <w:marLeft w:val="1440"/>
          <w:marRight w:val="0"/>
          <w:marTop w:val="0"/>
          <w:marBottom w:val="0"/>
          <w:divBdr>
            <w:top w:val="none" w:sz="0" w:space="0" w:color="auto"/>
            <w:left w:val="none" w:sz="0" w:space="0" w:color="auto"/>
            <w:bottom w:val="none" w:sz="0" w:space="0" w:color="auto"/>
            <w:right w:val="none" w:sz="0" w:space="0" w:color="auto"/>
          </w:divBdr>
        </w:div>
        <w:div w:id="1315331730">
          <w:marLeft w:val="1440"/>
          <w:marRight w:val="0"/>
          <w:marTop w:val="0"/>
          <w:marBottom w:val="0"/>
          <w:divBdr>
            <w:top w:val="none" w:sz="0" w:space="0" w:color="auto"/>
            <w:left w:val="none" w:sz="0" w:space="0" w:color="auto"/>
            <w:bottom w:val="none" w:sz="0" w:space="0" w:color="auto"/>
            <w:right w:val="none" w:sz="0" w:space="0" w:color="auto"/>
          </w:divBdr>
        </w:div>
        <w:div w:id="1036930804">
          <w:marLeft w:val="1440"/>
          <w:marRight w:val="0"/>
          <w:marTop w:val="0"/>
          <w:marBottom w:val="0"/>
          <w:divBdr>
            <w:top w:val="none" w:sz="0" w:space="0" w:color="auto"/>
            <w:left w:val="none" w:sz="0" w:space="0" w:color="auto"/>
            <w:bottom w:val="none" w:sz="0" w:space="0" w:color="auto"/>
            <w:right w:val="none" w:sz="0" w:space="0" w:color="auto"/>
          </w:divBdr>
        </w:div>
        <w:div w:id="1492716031">
          <w:marLeft w:val="0"/>
          <w:marRight w:val="0"/>
          <w:marTop w:val="100"/>
          <w:marBottom w:val="0"/>
          <w:divBdr>
            <w:top w:val="none" w:sz="0" w:space="0" w:color="auto"/>
            <w:left w:val="none" w:sz="0" w:space="0" w:color="auto"/>
            <w:bottom w:val="none" w:sz="0" w:space="0" w:color="auto"/>
            <w:right w:val="none" w:sz="0" w:space="0" w:color="auto"/>
          </w:divBdr>
        </w:div>
        <w:div w:id="1934168496">
          <w:marLeft w:val="720"/>
          <w:marRight w:val="0"/>
          <w:marTop w:val="0"/>
          <w:marBottom w:val="0"/>
          <w:divBdr>
            <w:top w:val="none" w:sz="0" w:space="0" w:color="auto"/>
            <w:left w:val="none" w:sz="0" w:space="0" w:color="auto"/>
            <w:bottom w:val="none" w:sz="0" w:space="0" w:color="auto"/>
            <w:right w:val="none" w:sz="0" w:space="0" w:color="auto"/>
          </w:divBdr>
        </w:div>
        <w:div w:id="1676372663">
          <w:marLeft w:val="720"/>
          <w:marRight w:val="0"/>
          <w:marTop w:val="0"/>
          <w:marBottom w:val="0"/>
          <w:divBdr>
            <w:top w:val="none" w:sz="0" w:space="0" w:color="auto"/>
            <w:left w:val="none" w:sz="0" w:space="0" w:color="auto"/>
            <w:bottom w:val="none" w:sz="0" w:space="0" w:color="auto"/>
            <w:right w:val="none" w:sz="0" w:space="0" w:color="auto"/>
          </w:divBdr>
        </w:div>
        <w:div w:id="585919513">
          <w:marLeft w:val="720"/>
          <w:marRight w:val="0"/>
          <w:marTop w:val="0"/>
          <w:marBottom w:val="0"/>
          <w:divBdr>
            <w:top w:val="none" w:sz="0" w:space="0" w:color="auto"/>
            <w:left w:val="none" w:sz="0" w:space="0" w:color="auto"/>
            <w:bottom w:val="none" w:sz="0" w:space="0" w:color="auto"/>
            <w:right w:val="none" w:sz="0" w:space="0" w:color="auto"/>
          </w:divBdr>
        </w:div>
        <w:div w:id="1524786103">
          <w:marLeft w:val="720"/>
          <w:marRight w:val="0"/>
          <w:marTop w:val="0"/>
          <w:marBottom w:val="0"/>
          <w:divBdr>
            <w:top w:val="none" w:sz="0" w:space="0" w:color="auto"/>
            <w:left w:val="none" w:sz="0" w:space="0" w:color="auto"/>
            <w:bottom w:val="none" w:sz="0" w:space="0" w:color="auto"/>
            <w:right w:val="none" w:sz="0" w:space="0" w:color="auto"/>
          </w:divBdr>
        </w:div>
        <w:div w:id="1513258243">
          <w:marLeft w:val="0"/>
          <w:marRight w:val="0"/>
          <w:marTop w:val="100"/>
          <w:marBottom w:val="0"/>
          <w:divBdr>
            <w:top w:val="none" w:sz="0" w:space="0" w:color="auto"/>
            <w:left w:val="none" w:sz="0" w:space="0" w:color="auto"/>
            <w:bottom w:val="none" w:sz="0" w:space="0" w:color="auto"/>
            <w:right w:val="none" w:sz="0" w:space="0" w:color="auto"/>
          </w:divBdr>
        </w:div>
        <w:div w:id="412705649">
          <w:marLeft w:val="720"/>
          <w:marRight w:val="0"/>
          <w:marTop w:val="0"/>
          <w:marBottom w:val="0"/>
          <w:divBdr>
            <w:top w:val="none" w:sz="0" w:space="0" w:color="auto"/>
            <w:left w:val="none" w:sz="0" w:space="0" w:color="auto"/>
            <w:bottom w:val="none" w:sz="0" w:space="0" w:color="auto"/>
            <w:right w:val="none" w:sz="0" w:space="0" w:color="auto"/>
          </w:divBdr>
        </w:div>
        <w:div w:id="702167672">
          <w:marLeft w:val="720"/>
          <w:marRight w:val="0"/>
          <w:marTop w:val="0"/>
          <w:marBottom w:val="0"/>
          <w:divBdr>
            <w:top w:val="none" w:sz="0" w:space="0" w:color="auto"/>
            <w:left w:val="none" w:sz="0" w:space="0" w:color="auto"/>
            <w:bottom w:val="none" w:sz="0" w:space="0" w:color="auto"/>
            <w:right w:val="none" w:sz="0" w:space="0" w:color="auto"/>
          </w:divBdr>
        </w:div>
        <w:div w:id="454181553">
          <w:marLeft w:val="1440"/>
          <w:marRight w:val="0"/>
          <w:marTop w:val="0"/>
          <w:marBottom w:val="0"/>
          <w:divBdr>
            <w:top w:val="none" w:sz="0" w:space="0" w:color="auto"/>
            <w:left w:val="none" w:sz="0" w:space="0" w:color="auto"/>
            <w:bottom w:val="none" w:sz="0" w:space="0" w:color="auto"/>
            <w:right w:val="none" w:sz="0" w:space="0" w:color="auto"/>
          </w:divBdr>
        </w:div>
      </w:divsChild>
    </w:div>
    <w:div w:id="151460769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55">
          <w:marLeft w:val="360"/>
          <w:marRight w:val="0"/>
          <w:marTop w:val="200"/>
          <w:marBottom w:val="0"/>
          <w:divBdr>
            <w:top w:val="none" w:sz="0" w:space="0" w:color="auto"/>
            <w:left w:val="none" w:sz="0" w:space="0" w:color="auto"/>
            <w:bottom w:val="none" w:sz="0" w:space="0" w:color="auto"/>
            <w:right w:val="none" w:sz="0" w:space="0" w:color="auto"/>
          </w:divBdr>
        </w:div>
        <w:div w:id="845561416">
          <w:marLeft w:val="360"/>
          <w:marRight w:val="0"/>
          <w:marTop w:val="200"/>
          <w:marBottom w:val="0"/>
          <w:divBdr>
            <w:top w:val="none" w:sz="0" w:space="0" w:color="auto"/>
            <w:left w:val="none" w:sz="0" w:space="0" w:color="auto"/>
            <w:bottom w:val="none" w:sz="0" w:space="0" w:color="auto"/>
            <w:right w:val="none" w:sz="0" w:space="0" w:color="auto"/>
          </w:divBdr>
        </w:div>
      </w:divsChild>
    </w:div>
    <w:div w:id="2020812796">
      <w:bodyDiv w:val="1"/>
      <w:marLeft w:val="0"/>
      <w:marRight w:val="0"/>
      <w:marTop w:val="0"/>
      <w:marBottom w:val="0"/>
      <w:divBdr>
        <w:top w:val="none" w:sz="0" w:space="0" w:color="auto"/>
        <w:left w:val="none" w:sz="0" w:space="0" w:color="auto"/>
        <w:bottom w:val="none" w:sz="0" w:space="0" w:color="auto"/>
        <w:right w:val="none" w:sz="0" w:space="0" w:color="auto"/>
      </w:divBdr>
      <w:divsChild>
        <w:div w:id="228154139">
          <w:marLeft w:val="360"/>
          <w:marRight w:val="0"/>
          <w:marTop w:val="200"/>
          <w:marBottom w:val="0"/>
          <w:divBdr>
            <w:top w:val="none" w:sz="0" w:space="0" w:color="auto"/>
            <w:left w:val="none" w:sz="0" w:space="0" w:color="auto"/>
            <w:bottom w:val="none" w:sz="0" w:space="0" w:color="auto"/>
            <w:right w:val="none" w:sz="0" w:space="0" w:color="auto"/>
          </w:divBdr>
        </w:div>
        <w:div w:id="18649805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Ormfamily</dc:creator>
  <cp:keywords/>
  <dc:description/>
  <cp:lastModifiedBy>Ormfamily</cp:lastModifiedBy>
  <cp:revision>1</cp:revision>
  <dcterms:created xsi:type="dcterms:W3CDTF">2023-06-29T11:11:00Z</dcterms:created>
  <dcterms:modified xsi:type="dcterms:W3CDTF">2023-06-29T11:21:00Z</dcterms:modified>
</cp:coreProperties>
</file>